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эсхатологический</w:t>
      </w:r>
    </w:p>
    <w:p>
      <w:pPr>
        <w:pStyle w:val="Heading1"/>
      </w:pPr>
      <w:r>
        <w:t>Левый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значительный, эсхатологический; 2) размахивать, эсхатологический; 3) сторонник, эсхатологический; 4) суд, эсхатологический;</w:t>
      </w:r>
    </w:p>
    <w:p>
      <w:pPr>
        <w:pStyle w:val="Heading1"/>
      </w:pPr>
      <w:r>
        <w:t>Правый контекст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эсхатологический, дубина; 2) эсхатологический, катастрофизм; 3) эсхатологический, признак; 4) эсхатологический, сочинение;</w:t>
      </w:r>
    </w:p>
    <w:p>
      <w:pPr>
        <w:pStyle w:val="Heading1"/>
      </w:pPr>
      <w:r>
        <w:t>Прилагательное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значительный, эсхатологический; 2) страшный, эсхатологический; 3) убежденный, эсхатологический; 4) характерный, эсхатологический;</w:t>
      </w:r>
    </w:p>
    <w:p>
      <w:pPr>
        <w:pStyle w:val="Heading1"/>
      </w:pPr>
      <w:r>
        <w:t>Существительное слева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достоевский, эсхатологический; 2) картина, эсхатологический; 3) критик, эсхатологический; 4) православность, эсхатологический; 5) правота, эсхатологический; 6) раз, эсхатологический; 7) сморжко, эсхатологический; 8) сторонник, эсхатологический; 9) суд, эсхатологический;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эсхатологический, вера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эсхатологический, атеизм; 2) эсхатологический, дубина; 3) эсхатологический, катастрофизм; 4) эсхатологический, конец; 5) эсхатологический, мир; 6) эсхатологический, надежда; 7) эсхатологический, признак; 8) эсхатологический, пророчество; 9) эсхатологический, равнодушие; 10) эсхатологический, сочинение;</w:t>
      </w:r>
    </w:p>
    <w:p>
      <w:pPr>
        <w:pStyle w:val="BodyText"/>
      </w:pPr>
      <w:r>
        <w:t>1.</w:t>
        <w:br/>
        <w:t>здешнее должно погибнуть”³).</w:t>
        <w:br/>
        <w:t xml:space="preserve">  * Гачева А., 2005</w:t>
        <w:br/>
        <w:t xml:space="preserve">  313</w:t>
        <w:br/>
        <w:t xml:space="preserve">  Таким убежденным в своей правоте и православности критикам, лихо</w:t>
        <w:br/>
        <w:t xml:space="preserve">  размахивающим эсхатологической дубиной, сокрушая всякую надежду и веру в</w:t>
        <w:br/>
        <w:t xml:space="preserve">  возможность поворота истории на Божьи пути, благого дела и творчества в</w:t>
        <w:br/>
        <w:t xml:space="preserve">  ней, в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2.</w:t>
        <w:br/>
        <w:t>требованием к личности и относительным — к государственному</w:t>
        <w:br/>
        <w:t xml:space="preserve">  и общественному целому (такой разрыв, отметим попутно, был как раз</w:t>
        <w:br/>
        <w:t xml:space="preserve">  характерен для сторонников эсхатологического катастрофизма, отрицавших</w:t>
        <w:br/>
        <w:t xml:space="preserve">  пророчество о тысячелетнем царстве) был преодолен:</w:t>
        <w:br/>
        <w:t xml:space="preserve">  Надо, чтобы и в политических организмах была признаваема та же правда,</w:t>
        <w:br/>
        <w:t xml:space="preserve">  та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3.</w:t>
        <w:br/>
        <w:t xml:space="preserve"> которого являются следствием его эгоцентричности, почти</w:t>
        <w:br/>
        <w:t xml:space="preserve">  маниакальной сосредоточенности на себе. По наблюдению С. Н. Сморжко,</w:t>
        <w:br/>
        <w:t xml:space="preserve">  «Достоевский указывает на значительный эсхатологический признак: в</w:t>
        <w:br/>
        <w:t xml:space="preserve">  равнодушии нет ни атеизма, ни веры, нет веры в Бога, но остается</w:t>
        <w:br/>
        <w:t xml:space="preserve">  уверенность в том, что есть дьявол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4.</w:t>
        <w:br/>
        <w:t>Т. Б. Лебедева, В. А. Михнюкевич и др. Особенность развития темы</w:t>
        <w:br/>
        <w:t xml:space="preserve">  заключается в том, что «картина “страшного суда”, которая</w:t>
        <w:br/>
        <w:t xml:space="preserve">  в эсхатологических сочинениях завершает конец мира, отнесена в видение</w:t>
        <w:br/>
        <w:t xml:space="preserve">  Мармеладова. Вопреки сложившейся традиции, она становится символом</w:t>
        <w:br/>
        <w:t xml:space="preserve">  высшей гармонии, любви и примирения. Импульсы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