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60" w:after="120"/>
      </w:pPr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Uplift Justification</w:t>
      </w:r>
    </w:p>
    <w:p>
      <w:pPr>
        <w:spacing w:before="0" w:after="200"/>
      </w:pPr>
      <w:r>
        <w:rPr>
          <w:rFonts w:ascii="Arial" w:hAnsi="Arial" w:cs="Arial"/>
          <w:i/>
          <w:iCs/>
          <w:color w:val="5A5A5A"/>
          <w:sz w:val="16"/>
          <w:szCs w:val="16"/>
        </w:rPr>
        <w:t xml:space="preserve">Generated: 7 August 2026  |  Uplift Tool v1.13 (Based on LAA Costs Assessment Guidance (Version 1a, 23 September 2024))</w:t>
      </w:r>
    </w:p>
    <w:p>
      <w:pPr>
        <w:spacing w:before="400" w:after="16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CASE DETAILS</w:t>
      </w:r>
    </w:p>
    <w:p>
      <w:pPr>
        <w:spacing w:before="0" w:after="80"/>
      </w:pPr>
      <w:r>
        <w:rPr>
          <w:rFonts w:ascii="Arial" w:hAnsi="Arial" w:cs="Arial"/>
          <w:color w:val="3C3C3C"/>
          <w:sz w:val="20"/>
          <w:szCs w:val="20"/>
        </w:rPr>
        <w:t xml:space="preserve">Fee Earner:  A. Panel-Member</w:t>
      </w:r>
    </w:p>
    <w:p>
      <w:pPr>
        <w:spacing w:before="0" w:after="80"/>
      </w:pPr>
      <w:r>
        <w:rPr>
          <w:rFonts w:ascii="Arial" w:hAnsi="Arial" w:cs="Arial"/>
          <w:color w:val="3C3C3C"/>
          <w:sz w:val="20"/>
          <w:szCs w:val="20"/>
        </w:rPr>
        <w:t xml:space="preserve">Matter Type:  Private Law Children</w:t>
      </w:r>
    </w:p>
    <w:p>
      <w:pPr>
        <w:spacing w:before="0" w:after="80"/>
      </w:pPr>
      <w:r>
        <w:rPr>
          <w:rFonts w:ascii="Arial" w:hAnsi="Arial" w:cs="Arial"/>
          <w:color w:val="3C3C3C"/>
          <w:sz w:val="20"/>
          <w:szCs w:val="20"/>
        </w:rPr>
        <w:t xml:space="preserve">Case / Matter Name:  Synthetic Deemed 0001</w:t>
      </w:r>
    </w:p>
    <w:p>
      <w:pPr>
        <w:spacing w:before="0" w:after="80"/>
      </w:pPr>
      <w:r>
        <w:rPr>
          <w:rFonts w:ascii="Arial" w:hAnsi="Arial" w:cs="Arial"/>
          <w:color w:val="3C3C3C"/>
          <w:sz w:val="20"/>
          <w:szCs w:val="20"/>
        </w:rPr>
        <w:t xml:space="preserve">Court:  County Court</w:t>
      </w:r>
    </w:p>
    <w:p>
      <w:pPr>
        <w:spacing w:before="400" w:after="16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PANEL MEMBERSHIP</w:t>
      </w:r>
    </w:p>
    <w:p>
      <w:pPr>
        <w:spacing w:before="0" w:after="80"/>
      </w:pPr>
      <w:r>
        <w:rPr>
          <w:rFonts w:ascii="Arial" w:hAnsi="Arial" w:cs="Arial"/>
          <w:color w:val="3C3C3C"/>
          <w:sz w:val="20"/>
          <w:szCs w:val="20"/>
        </w:rPr>
        <w:t xml:space="preserve">•  Fee earner is on Law Society Children Panel</w:t>
      </w:r>
    </w:p>
    <w:p>
      <w:pPr>
        <w:spacing w:before="400" w:after="16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STAGE 1: THRESHOLD TEST SELECTIONS</w:t>
      </w:r>
    </w:p>
    <w:p>
      <w:pPr>
        <w:spacing w:before="0" w:after="120"/>
      </w:pPr>
      <w:r>
        <w:rPr>
          <w:rFonts w:ascii="Arial" w:hAnsi="Arial" w:cs="Arial"/>
          <w:i/>
          <w:iCs/>
          <w:color w:val="5A5A5A"/>
          <w:sz w:val="20"/>
          <w:szCs w:val="20"/>
        </w:rPr>
        <w:t xml:space="preserve">No Stage 1 threshold factors selected.</w:t>
      </w:r>
    </w:p>
    <w:p>
      <w:pPr>
        <w:spacing w:before="0" w:after="120"/>
      </w:pPr>
      <w:r>
        <w:rPr>
          <w:rFonts w:ascii="Arial" w:hAnsi="Arial" w:cs="Arial"/>
          <w:i/>
          <w:iCs/>
          <w:color w:val="5A5A5A"/>
          <w:sz w:val="20"/>
          <w:szCs w:val="20"/>
        </w:rPr>
        <w:t xml:space="preserve">Threshold test: deemed satisfied by panel membership (Spec Para 7.23(a)).</w:t>
      </w:r>
    </w:p>
    <w:p>
      <w:pPr>
        <w:spacing w:before="400" w:after="16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STAGE 2: LEVEL OF ENHANCEMENT FACTORS</w:t>
      </w:r>
    </w:p>
    <w:p>
      <w:pPr>
        <w:spacing w:before="80" w:after="40"/>
      </w:pPr>
      <w:r>
        <w:rPr>
          <w:rFonts w:ascii="Arial" w:hAnsi="Arial" w:cs="Arial"/>
          <w:b/>
          <w:bCs/>
          <w:color w:val="3C3C3C"/>
          <w:sz w:val="20"/>
          <w:szCs w:val="20"/>
        </w:rPr>
        <w:t xml:space="preserve">•  Drafting without counsel</w:t>
      </w:r>
    </w:p>
    <w:p>
      <w:pPr>
        <w:spacing w:before="0" w:after="40"/>
        <w:ind w:left="280"/>
      </w:pPr>
      <w:r>
        <w:rPr>
          <w:rFonts w:ascii="Arial" w:hAnsi="Arial" w:cs="Arial"/>
          <w:i/>
          <w:iCs/>
          <w:color w:val="5A5A5A"/>
          <w:sz w:val="16"/>
          <w:szCs w:val="16"/>
        </w:rPr>
        <w:t xml:space="preserve">Degree of responsibility</w:t>
      </w:r>
    </w:p>
    <w:p>
      <w:pPr>
        <w:spacing w:before="0" w:after="120"/>
        <w:ind w:left="280"/>
      </w:pPr>
      <w:r>
        <w:rPr>
          <w:rFonts w:ascii="Arial" w:hAnsi="Arial" w:cs="Arial"/>
          <w:i/>
          <w:iCs/>
          <w:color w:val="0056B3"/>
          <w:sz w:val="18"/>
          <w:szCs w:val="18"/>
        </w:rPr>
        <w:t xml:space="preserve">Explanation: Drafted every position statement and the final threshold document without recourse to counsel throughout the proceedings.</w:t>
      </w:r>
    </w:p>
    <w:p>
      <w:pPr>
        <w:spacing w:before="400" w:after="16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PROPOSED UPLIFT</w:t>
      </w:r>
    </w:p>
    <w:p>
      <w:pPr>
        <w:spacing w:before="0" w:after="200"/>
      </w:pPr>
      <w:r>
        <w:rPr>
          <w:rFonts w:ascii="Arial" w:hAnsi="Arial" w:cs="Arial"/>
          <w:b/>
          <w:bCs/>
          <w:color w:val="000000"/>
          <w:sz w:val="26"/>
          <w:szCs w:val="26"/>
        </w:rPr>
        <w:t xml:space="preserve">Proposed Uplift Percentage:  20%</w:t>
      </w:r>
    </w:p>
    <w:p>
      <w:pPr>
        <w:spacing w:before="0" w:after="120"/>
      </w:pPr>
      <w:r>
        <w:rPr>
          <w:rFonts w:ascii="Arial" w:hAnsi="Arial" w:cs="Arial"/>
          <w:color w:val="5A5A5A"/>
          <w:sz w:val="20"/>
          <w:szCs w:val="20"/>
        </w:rPr>
        <w:t xml:space="preserve">Applicable ceiling for this court (CAG 12.2):  50%</w:t>
      </w:r>
    </w:p>
    <w:p>
      <w:pPr>
        <w:spacing w:before="400" w:after="16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EVIDENCE ON FILE</w:t>
      </w:r>
    </w:p>
    <w:p>
      <w:pPr>
        <w:spacing w:before="0" w:after="80"/>
      </w:pPr>
      <w:r>
        <w:rPr>
          <w:rFonts w:ascii="Arial" w:hAnsi="Arial" w:cs="Arial"/>
          <w:color w:val="3C3C3C"/>
          <w:sz w:val="20"/>
          <w:szCs w:val="20"/>
        </w:rPr>
        <w:t xml:space="preserve">Evidence on file: Not confirmed</w:t>
      </w:r>
    </w:p>
    <w:p>
      <w:pPr>
        <w:spacing w:before="0" w:after="120"/>
      </w:pPr>
      <w:r>
        <w:rPr>
          <w:rFonts w:ascii="Arial" w:hAnsi="Arial" w:cs="Arial"/>
          <w:i/>
          <w:iCs/>
          <w:color w:val="5A5A5A"/>
          <w:sz w:val="20"/>
          <w:szCs w:val="20"/>
        </w:rPr>
        <w:t xml:space="preserve">The fee earner has not confirmed that supporting evidence is held on the case file. The narrative will not assert that it is.</w:t>
      </w:r>
    </w:p>
    <w:p>
      <w:pPr>
        <w:spacing w:before="400" w:after="80"/>
      </w:pPr>
      <w:r>
        <w:rPr>
          <w:rFonts w:ascii="Arial" w:hAnsi="Arial" w:cs="Arial"/>
          <w:b/>
          <w:bCs/>
          <w:color w:val="646464"/>
          <w:sz w:val="16"/>
          <w:szCs w:val="16"/>
        </w:rPr>
        <w:t xml:space="preserve">DISCLAIMER</w:t>
      </w:r>
    </w:p>
    <w:p>
      <w:pPr>
        <w:spacing w:before="0" w:after="40"/>
      </w:pPr>
      <w:r>
        <w:rPr>
          <w:rFonts w:ascii="Arial" w:hAnsi="Arial" w:cs="Arial"/>
          <w:color w:val="646464"/>
          <w:sz w:val="14"/>
          <w:szCs w:val="14"/>
        </w:rPr>
        <w:t xml:space="preserve">This document has been generated using the Woodruff Billing Ltd. Uplift Justification Collator.</w:t>
      </w:r>
    </w:p>
    <w:p>
      <w:pPr>
        <w:spacing w:before="0" w:after="40"/>
      </w:pPr>
      <w:r>
        <w:rPr>
          <w:rFonts w:ascii="Arial" w:hAnsi="Arial" w:cs="Arial"/>
          <w:color w:val="646464"/>
          <w:sz w:val="14"/>
          <w:szCs w:val="14"/>
        </w:rPr>
        <w:t xml:space="preserve">It is intended for use by the named Fee Earner and for submission to Woodruff Billing Ltd. only.</w:t>
      </w:r>
    </w:p>
    <w:p>
      <w:pPr>
        <w:spacing w:before="0" w:after="40"/>
      </w:pPr>
      <w:r>
        <w:rPr>
          <w:rFonts w:ascii="Arial" w:hAnsi="Arial" w:cs="Arial"/>
          <w:color w:val="646464"/>
          <w:sz w:val="14"/>
          <w:szCs w:val="14"/>
        </w:rPr>
        <w:t xml:space="preserve">The information contained herein is based on the inputs provided by the solicitor and is for the purpose of assisting Woodruff Billing Ltd. in preparing an LAA enhancement claim.</w:t>
      </w:r>
    </w:p>
    <w:p>
      <w:pPr>
        <w:spacing w:before="0" w:after="40"/>
      </w:pPr>
      <w:r>
        <w:rPr>
          <w:rFonts w:ascii="Arial" w:hAnsi="Arial" w:cs="Arial"/>
          <w:color w:val="646464"/>
          <w:sz w:val="14"/>
          <w:szCs w:val="14"/>
        </w:rPr>
        <w:t xml:space="preserve">The Proposed Uplift % is the solicitor's own figure. This tool does not calculate or suggest a percentage. The final percentage claimed will be determined by Woodruff Billing Ltd. based on a full review, and the quantum of any enhancement is a matter for the Legal Aid Agency.</w:t>
      </w:r>
    </w:p>
    <w:p>
      <w:pPr>
        <w:spacing w:before="0" w:after="40"/>
      </w:pPr>
      <w:r>
        <w:rPr>
          <w:rFonts w:ascii="Arial" w:hAnsi="Arial" w:cs="Arial"/>
          <w:color w:val="646464"/>
          <w:sz w:val="14"/>
          <w:szCs w:val="14"/>
        </w:rPr>
        <w:t xml:space="preserve">Woodruff Billing Ltd. is not responsible for the accuracy or completeness of the information entered by the solicitor. The solicitor remains responsible for the veracity of their justifications.</w:t>
      </w:r>
    </w:p>
    <w:p>
      <w:pPr>
        <w:spacing w:before="200" w:after="0"/>
      </w:pPr>
      <w:r>
        <w:rPr>
          <w:rFonts w:ascii="Arial" w:hAnsi="Arial" w:cs="Arial"/>
          <w:i/>
          <w:iCs/>
          <w:color w:val="646464"/>
          <w:sz w:val="14"/>
          <w:szCs w:val="14"/>
        </w:rPr>
        <w:t xml:space="preserve">Uplift Collator v1.13 (7 August 2026)</w:t>
      </w:r>
    </w:p>
    <w:sectPr>
      <w:headerReference w:type="default" r:id="rId1"/>
      <w:footerReference w:type="default" r:id="rId2"/>
      <w:pgSz w:w="11906" w:h="16838"/>
      <w:pgMar w:top="1000" w:right="1000" w:bottom="1000" w:left="1000" w:header="500" w:footer="500" w:gutter="0"/>
    </w:sectPr>
  </w:body>
</w:document>
</file>

<file path=word/footer1.xml><?xml version="1.0" encoding="utf-8"?>
<w:ftr xmlns:w="http://schemas.openxmlformats.org/wordprocessingml/2006/main">
  <w:p>
    <w:pPr>
      <w:tabs>
        <w:tab w:val="center" w:pos="4953"/>
        <w:tab w:val="right" w:pos="9906"/>
      </w:tabs>
    </w:pPr>
    <w:r>
      <w:rPr>
        <w:rFonts w:ascii="Arial" w:hAnsi="Arial" w:cs="Arial"/>
        <w:color w:val="646464"/>
        <w:sz w:val="14"/>
        <w:szCs w:val="14"/>
      </w:rPr>
      <w:t xml:space="preserve">CONFIDENTIAL — FOR LAA SUBMISSION</w:t>
    </w:r>
    <w:r>
      <w:rPr>
        <w:rFonts w:ascii="Arial" w:hAnsi="Arial" w:cs="Arial"/>
        <w:color w:val="646464"/>
        <w:sz w:val="14"/>
        <w:szCs w:val="14"/>
      </w:rPr>
      <w:tab/>
    </w:r>
    <w:r>
      <w:rPr>
        <w:rFonts w:ascii="Arial" w:hAnsi="Arial" w:cs="Arial"/>
        <w:color w:val="646464"/>
        <w:sz w:val="14"/>
        <w:szCs w:val="14"/>
      </w:rPr>
      <w:t xml:space="preserve">Page </w:t>
    </w:r>
    <w:fldSimple w:instr=" PAGE ">
      <w:r>
        <w:rPr>
          <w:rFonts w:ascii="Arial" w:hAnsi="Arial" w:cs="Arial"/>
          <w:color w:val="646464"/>
          <w:sz w:val="14"/>
          <w:szCs w:val="14"/>
        </w:rPr>
        <w:t>1</w:t>
      </w:r>
    </w:fldSimple>
    <w:r>
      <w:rPr>
        <w:rFonts w:ascii="Arial" w:hAnsi="Arial" w:cs="Arial"/>
        <w:color w:val="646464"/>
        <w:sz w:val="14"/>
        <w:szCs w:val="14"/>
      </w:rPr>
      <w:t xml:space="preserve"> of </w:t>
    </w:r>
    <w:fldSimple w:instr=" NUMPAGES ">
      <w:r>
        <w:rPr>
          <w:rFonts w:ascii="Arial" w:hAnsi="Arial" w:cs="Arial"/>
          <w:color w:val="646464"/>
          <w:sz w:val="14"/>
          <w:szCs w:val="14"/>
        </w:rPr>
        <w:t>1</w:t>
      </w:r>
    </w:fldSimple>
    <w:r>
      <w:rPr>
        <w:rFonts w:ascii="Arial" w:hAnsi="Arial" w:cs="Arial"/>
        <w:color w:val="646464"/>
        <w:sz w:val="14"/>
        <w:szCs w:val="14"/>
      </w:rPr>
      <w:tab/>
    </w:r>
    <w:r>
      <w:rPr>
        <w:rFonts w:ascii="Arial" w:hAnsi="Arial" w:cs="Arial"/>
        <w:color w:val="646464"/>
        <w:sz w:val="14"/>
        <w:szCs w:val="14"/>
      </w:rPr>
      <w:t xml:space="preserve">Woodruff Billing Ltd</w:t>
    </w:r>
  </w:p>
</w:ftr>
</file>

<file path=word/header1.xml><?xml version="1.0" encoding="utf-8"?>
<w:hdr xmlns:w="http://schemas.openxmlformats.org/wordprocessingml/2006/main">
  <w:p>
    <w:pPr>
      <w:spacing w:after="20"/>
    </w:pPr>
    <w:r>
      <w:rPr>
        <w:rFonts w:ascii="Times New Roman" w:hAnsi="Times New Roman" w:cs="Times New Roman"/>
        <w:b/>
        <w:bCs/>
        <w:color w:val="000000"/>
        <w:sz w:val="44"/>
        <w:szCs w:val="44"/>
      </w:rPr>
      <w:t xml:space="preserve">W</w:t>
    </w:r>
    <w:r>
      <w:rPr>
        <w:rFonts w:ascii="Arial" w:hAnsi="Arial" w:cs="Arial"/>
        <w:b/>
        <w:bCs/>
        <w:color w:val="000000"/>
        <w:sz w:val="26"/>
        <w:szCs w:val="26"/>
      </w:rPr>
      <w:t xml:space="preserve">  Woodruff Billing Ltd.</w:t>
    </w:r>
  </w:p>
  <w:p>
    <w:pPr>
      <w:pBdr>
        <w:bottom w:val="single" w:sz="4" w:space="4" w:color="B4B4B4"/>
      </w:pBdr>
      <w:spacing w:before="0" w:after="120"/>
    </w:pPr>
    <w:r>
      <w:rPr>
        <w:rFonts w:ascii="Arial" w:hAnsi="Arial" w:cs="Arial"/>
        <w:color w:val="5A5A5A"/>
        <w:sz w:val="16"/>
        <w:szCs w:val="16"/>
      </w:rPr>
      <w:t xml:space="preserve">Uplift Justification  |  Synthetic Deemed 0001</w:t>
    </w:r>
  </w:p>
</w:hdr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Uplift Justification</dc:title>
  <dc:creator>Uplift Collator v1.13</dc:creator>
  <cp:lastModifiedBy>Uplift Collator v1.13</cp:lastModifiedBy>
  <dcterms:created xsi:type="dcterms:W3CDTF">2026-08-07T09:00:00Z</dcterms:created>
  <dcterms:modified xsi:type="dcterms:W3CDTF">2026-08-07T09:00:00Z</dcterms:modified>
</cp:coreProperties>
</file>