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60" w:after="120"/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Uplift Justification</w:t>
      </w:r>
    </w:p>
    <w:p>
      <w:pPr>
        <w:spacing w:before="0" w:after="20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Generated: 7 August 2026  |  Uplift Tool v1.13 (Based on LAA Costs Assessment Guidance (Version 1a, 23 September 2024))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CASE DETAILS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Fee Earner:  C. Adversarial-Solicitor with an Unusually Long Name for Testing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Matter Type:  Public Law Children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Case / Matter Name:  In the High Court: Re X and Y (a very long synthetic matter name)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Court:  High Court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PANEL MEMBERSHIP</w:t>
      </w:r>
    </w:p>
    <w:p>
      <w:pPr>
        <w:spacing w:before="0" w:after="120"/>
      </w:pPr>
      <w:r>
        <w:rPr>
          <w:rFonts w:ascii="Arial" w:hAnsi="Arial" w:cs="Arial"/>
          <w:i/>
          <w:iCs/>
          <w:color w:val="5A5A5A"/>
          <w:sz w:val="20"/>
          <w:szCs w:val="20"/>
        </w:rPr>
        <w:t xml:space="preserve">None selected.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STAGE 1: THRESHOLD TEST SELECTIONS</w:t>
      </w:r>
    </w:p>
    <w:p>
      <w:pPr>
        <w:spacing w:before="80" w:after="40"/>
      </w:pPr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•  Applied unusually detailed knowledge relevant to this case</w:t>
      </w:r>
    </w:p>
    <w:p>
      <w:pPr>
        <w:spacing w:before="0" w:after="40"/>
        <w:ind w:left="28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Threshold limb (a): exceptional competence, skill or expertise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STAGE 2: LEVEL OF ENHANCEMENT FACTORS</w:t>
      </w:r>
    </w:p>
    <w:p>
      <w:pPr>
        <w:spacing w:before="80" w:after="40"/>
      </w:pPr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•  Complexity relating to legal, expert or evidential issues</w:t>
      </w:r>
    </w:p>
    <w:p>
      <w:pPr>
        <w:spacing w:before="0" w:after="40"/>
        <w:ind w:left="28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Complexity</w:t>
      </w:r>
    </w:p>
    <w:p>
      <w:pPr>
        <w:spacing w:before="0" w:after="120"/>
        <w:ind w:left="280"/>
      </w:pP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Explanation: From my working note of the previous summary:</w:t>
      </w:r>
      <w:r>
        <w:rPr>
          <w:rFonts w:ascii="Arial" w:hAnsi="Arial" w:cs="Arial"/>
          <w:i/>
          <w:iCs/>
          <w:color w:val="0056B3"/>
          <w:sz w:val="18"/>
          <w:szCs w:val="18"/>
        </w:rPr>
        <w:br/>
      </w: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DISCLAIMER</w:t>
      </w:r>
      <w:r>
        <w:rPr>
          <w:rFonts w:ascii="Arial" w:hAnsi="Arial" w:cs="Arial"/>
          <w:i/>
          <w:iCs/>
          <w:color w:val="0056B3"/>
          <w:sz w:val="18"/>
          <w:szCs w:val="18"/>
        </w:rPr>
        <w:br/>
      </w: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EVIDENCE ON FILE</w:t>
      </w:r>
      <w:r>
        <w:rPr>
          <w:rFonts w:ascii="Arial" w:hAnsi="Arial" w:cs="Arial"/>
          <w:i/>
          <w:iCs/>
          <w:color w:val="0056B3"/>
          <w:sz w:val="18"/>
          <w:szCs w:val="18"/>
        </w:rPr>
        <w:br/>
      </w: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Evidence on file: Confirmed</w:t>
      </w:r>
      <w:r>
        <w:rPr>
          <w:rFonts w:ascii="Arial" w:hAnsi="Arial" w:cs="Arial"/>
          <w:i/>
          <w:iCs/>
          <w:color w:val="0056B3"/>
          <w:sz w:val="18"/>
          <w:szCs w:val="18"/>
        </w:rPr>
        <w:br/>
      </w: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STAGE 2: LEVEL OF ENHANCEMENT FACTORS</w:t>
      </w:r>
      <w:r>
        <w:rPr>
          <w:rFonts w:ascii="Arial" w:hAnsi="Arial" w:cs="Arial"/>
          <w:i/>
          <w:iCs/>
          <w:color w:val="0056B3"/>
          <w:sz w:val="18"/>
          <w:szCs w:val="18"/>
        </w:rPr>
        <w:br/>
      </w: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•  Applied unusually detailed knowledge relevant to this case</w:t>
      </w:r>
      <w:r>
        <w:rPr>
          <w:rFonts w:ascii="Arial" w:hAnsi="Arial" w:cs="Arial"/>
          <w:i/>
          <w:iCs/>
          <w:color w:val="0056B3"/>
          <w:sz w:val="18"/>
          <w:szCs w:val="18"/>
        </w:rPr>
        <w:br/>
      </w: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Proposed Uplift Percentage:  95%</w:t>
      </w:r>
      <w:r>
        <w:rPr>
          <w:rFonts w:ascii="Arial" w:hAnsi="Arial" w:cs="Arial"/>
          <w:i/>
          <w:iCs/>
          <w:color w:val="0056B3"/>
          <w:sz w:val="18"/>
          <w:szCs w:val="18"/>
        </w:rPr>
        <w:br/>
      </w: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The vertical tab above and this line complete the paste.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PROPOSED UPLIFT</w:t>
      </w:r>
    </w:p>
    <w:p>
      <w:pPr>
        <w:spacing w:before="0" w:after="200"/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Proposed Uplift Percentage:  40%</w:t>
      </w:r>
    </w:p>
    <w:p>
      <w:pPr>
        <w:spacing w:before="0" w:after="120"/>
      </w:pPr>
      <w:r>
        <w:rPr>
          <w:rFonts w:ascii="Arial" w:hAnsi="Arial" w:cs="Arial"/>
          <w:color w:val="5A5A5A"/>
          <w:sz w:val="20"/>
          <w:szCs w:val="20"/>
        </w:rPr>
        <w:t xml:space="preserve">Applicable ceiling for this court (CAG 12.2):  100%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EVIDENCE ON FILE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Evidence on file: Not confirmed</w:t>
      </w:r>
    </w:p>
    <w:p>
      <w:pPr>
        <w:spacing w:before="0" w:after="120"/>
      </w:pPr>
      <w:r>
        <w:rPr>
          <w:rFonts w:ascii="Arial" w:hAnsi="Arial" w:cs="Arial"/>
          <w:i/>
          <w:iCs/>
          <w:color w:val="5A5A5A"/>
          <w:sz w:val="20"/>
          <w:szCs w:val="20"/>
        </w:rPr>
        <w:t xml:space="preserve">The fee earner has not confirmed that supporting evidence is held on the case file. The narrative will not assert that it is.</w:t>
      </w:r>
    </w:p>
    <w:p>
      <w:pPr>
        <w:spacing w:before="400" w:after="80"/>
      </w:pPr>
      <w:r>
        <w:rPr>
          <w:rFonts w:ascii="Arial" w:hAnsi="Arial" w:cs="Arial"/>
          <w:b/>
          <w:bCs/>
          <w:color w:val="646464"/>
          <w:sz w:val="16"/>
          <w:szCs w:val="16"/>
        </w:rPr>
        <w:t xml:space="preserve">DISCLAIMER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This document has been generated using the Woodruff Billing Ltd. Uplift Justification Collator.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It is intended for use by the named Fee Earner and for submission to Woodruff Billing Ltd. only.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The information contained herein is based on the inputs provided by the solicitor and is for the purpose of assisting Woodruff Billing Ltd. in preparing an LAA enhancement claim.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The Proposed Uplift % is the solicitor's own figure. This tool does not calculate or suggest a percentage. The final percentage claimed will be determined by Woodruff Billing Ltd. based on a full review, and the quantum of any enhancement is a matter for the Legal Aid Agency.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Woodruff Billing Ltd. is not responsible for the accuracy or completeness of the information entered by the solicitor. The solicitor remains responsible for the veracity of their justifications.</w:t>
      </w:r>
    </w:p>
    <w:p>
      <w:pPr>
        <w:spacing w:before="200" w:after="0"/>
      </w:pPr>
      <w:r>
        <w:rPr>
          <w:rFonts w:ascii="Arial" w:hAnsi="Arial" w:cs="Arial"/>
          <w:i/>
          <w:iCs/>
          <w:color w:val="646464"/>
          <w:sz w:val="14"/>
          <w:szCs w:val="14"/>
        </w:rPr>
        <w:t xml:space="preserve">Uplift Collator v1.13 (7 August 2026)</w:t>
      </w:r>
    </w:p>
    <w:sectPr>
      <w:headerReference w:type="default" r:id="rId1"/>
      <w:footerReference w:type="default" r:id="rId2"/>
      <w:pgSz w:w="11906" w:h="16838"/>
      <w:pgMar w:top="1000" w:right="1000" w:bottom="1000" w:left="1000" w:header="500" w:footer="500" w:gutter="0"/>
    </w:sectPr>
  </w:body>
</w:document>
</file>

<file path=word/footer1.xml><?xml version="1.0" encoding="utf-8"?>
<w:ftr xmlns:w="http://schemas.openxmlformats.org/wordprocessingml/2006/main">
  <w:p>
    <w:pPr>
      <w:tabs>
        <w:tab w:val="center" w:pos="4953"/>
        <w:tab w:val="right" w:pos="9906"/>
      </w:tabs>
    </w:pPr>
    <w:r>
      <w:rPr>
        <w:rFonts w:ascii="Arial" w:hAnsi="Arial" w:cs="Arial"/>
        <w:color w:val="646464"/>
        <w:sz w:val="14"/>
        <w:szCs w:val="14"/>
      </w:rPr>
      <w:t xml:space="preserve">CONFIDENTIAL — FOR LAA SUBMISSION</w:t>
    </w:r>
    <w:r>
      <w:rPr>
        <w:rFonts w:ascii="Arial" w:hAnsi="Arial" w:cs="Arial"/>
        <w:color w:val="646464"/>
        <w:sz w:val="14"/>
        <w:szCs w:val="14"/>
      </w:rPr>
      <w:tab/>
    </w:r>
    <w:r>
      <w:rPr>
        <w:rFonts w:ascii="Arial" w:hAnsi="Arial" w:cs="Arial"/>
        <w:color w:val="646464"/>
        <w:sz w:val="14"/>
        <w:szCs w:val="14"/>
      </w:rPr>
      <w:t xml:space="preserve">Page </w:t>
    </w:r>
    <w:fldSimple w:instr=" PAGE ">
      <w:r>
        <w:rPr>
          <w:rFonts w:ascii="Arial" w:hAnsi="Arial" w:cs="Arial"/>
          <w:color w:val="646464"/>
          <w:sz w:val="14"/>
          <w:szCs w:val="14"/>
        </w:rPr>
        <w:t>1</w:t>
      </w:r>
    </w:fldSimple>
    <w:r>
      <w:rPr>
        <w:rFonts w:ascii="Arial" w:hAnsi="Arial" w:cs="Arial"/>
        <w:color w:val="646464"/>
        <w:sz w:val="14"/>
        <w:szCs w:val="14"/>
      </w:rPr>
      <w:t xml:space="preserve"> of </w:t>
    </w:r>
    <w:fldSimple w:instr=" NUMPAGES ">
      <w:r>
        <w:rPr>
          <w:rFonts w:ascii="Arial" w:hAnsi="Arial" w:cs="Arial"/>
          <w:color w:val="646464"/>
          <w:sz w:val="14"/>
          <w:szCs w:val="14"/>
        </w:rPr>
        <w:t>1</w:t>
      </w:r>
    </w:fldSimple>
    <w:r>
      <w:rPr>
        <w:rFonts w:ascii="Arial" w:hAnsi="Arial" w:cs="Arial"/>
        <w:color w:val="646464"/>
        <w:sz w:val="14"/>
        <w:szCs w:val="14"/>
      </w:rPr>
      <w:tab/>
    </w:r>
    <w:r>
      <w:rPr>
        <w:rFonts w:ascii="Arial" w:hAnsi="Arial" w:cs="Arial"/>
        <w:color w:val="646464"/>
        <w:sz w:val="14"/>
        <w:szCs w:val="14"/>
      </w:rPr>
      <w:t xml:space="preserve">Woodruff Billing Ltd</w:t>
    </w:r>
  </w:p>
</w:ftr>
</file>

<file path=word/header1.xml><?xml version="1.0" encoding="utf-8"?>
<w:hdr xmlns:w="http://schemas.openxmlformats.org/wordprocessingml/2006/main">
  <w:p>
    <w:pPr>
      <w:spacing w:after="20"/>
    </w:pPr>
    <w:r>
      <w:rPr>
        <w:rFonts w:ascii="Times New Roman" w:hAnsi="Times New Roman" w:cs="Times New Roman"/>
        <w:b/>
        <w:bCs/>
        <w:color w:val="000000"/>
        <w:sz w:val="44"/>
        <w:szCs w:val="44"/>
      </w:rPr>
      <w:t xml:space="preserve">W</w:t>
    </w:r>
    <w:r>
      <w:rPr>
        <w:rFonts w:ascii="Arial" w:hAnsi="Arial" w:cs="Arial"/>
        <w:b/>
        <w:bCs/>
        <w:color w:val="000000"/>
        <w:sz w:val="26"/>
        <w:szCs w:val="26"/>
      </w:rPr>
      <w:t xml:space="preserve">  Woodruff Billing Ltd.</w:t>
    </w:r>
  </w:p>
  <w:p>
    <w:pPr>
      <w:pBdr>
        <w:bottom w:val="single" w:sz="4" w:space="4" w:color="B4B4B4"/>
      </w:pBdr>
      <w:spacing w:before="0" w:after="120"/>
    </w:pPr>
    <w:r>
      <w:rPr>
        <w:rFonts w:ascii="Arial" w:hAnsi="Arial" w:cs="Arial"/>
        <w:color w:val="5A5A5A"/>
        <w:sz w:val="16"/>
        <w:szCs w:val="16"/>
      </w:rPr>
      <w:t xml:space="preserve">Uplift Justification  |  In the High Court Re X and Y (a very long syn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Uplift Justification</dc:title>
  <dc:creator>Uplift Collator v1.13</dc:creator>
  <cp:lastModifiedBy>Uplift Collator v1.13</cp:lastModifiedBy>
  <dcterms:created xsi:type="dcterms:W3CDTF">2026-08-07T09:00:00Z</dcterms:created>
  <dcterms:modified xsi:type="dcterms:W3CDTF">2026-08-07T09:00:00Z</dcterms:modified>
</cp:coreProperties>
</file>