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keepNext/>
        <w:pBdr>
          <w:bottom w:val="single" w:sz="6" w:space="4" w:color="64A0AA"/>
        </w:pBdr>
        <w:spacing w:after="100"/>
      </w:pPr>
      <w:r>
        <w:rPr>
          <w:rFonts w:ascii="Cambria" w:eastAsia="Cambria" w:hAnsi="Cambria" w:cs="Cambria"/>
          <w:b/>
          <w:bCs/>
          <w:noProof/>
          <w:color w:val="242628"/>
          <w:sz w:val="36"/>
          <w:szCs w:val="36"/>
        </w:rPr>
        <w:t xml:space="preserve">Uplift Justification</w:t>
      </w:r>
    </w:p>
    <w:p>
      <w:pPr>
        <w:shd w:val="clear" w:color="auto" w:fill="EAF2F3"/>
        <w:tabs>
          <w:tab w:val="left" w:pos="1757"/>
        </w:tabs>
      </w:pPr>
      <w:r>
        <w:rPr>
          <w:rFonts w:ascii="Calibri" w:eastAsia="Calibri" w:hAnsi="Calibri" w:cs="Calibri"/>
          <w:b/>
          <w:bCs/>
          <w:noProof/>
          <w:color w:val="3F4447"/>
          <w:sz w:val="18"/>
          <w:szCs w:val="18"/>
        </w:rPr>
        <w:t xml:space="preserve">MATTER DETAIL</w:t>
      </w:r>
    </w:p>
    <w:p>
      <w:pPr>
        <w:keepNext/>
        <w:tabs>
          <w:tab w:val="left" w:pos="1757"/>
        </w:tabs>
        <w:spacing w:after="20"/>
        <w:rPr>
          <w:sz w:val="16"/>
          <w:szCs w:val="16"/>
        </w:rPr>
      </w:pPr>
      <w:r>
        <w:rPr>
          <w:rFonts w:ascii="Calibri" w:eastAsia="Calibri" w:hAnsi="Calibri" w:cs="Calibri"/>
          <w:b/>
          <w:bCs/>
          <w:noProof/>
          <w:color w:val="64A0AA"/>
          <w:sz w:val="16"/>
          <w:szCs w:val="16"/>
        </w:rPr>
        <w:t xml:space="preserve">Matter</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In the High Court: Re X and Y (a very long synthetic matter name)</w:t>
      </w:r>
    </w:p>
    <w:p>
      <w:pPr>
        <w:keepNext/>
        <w:tabs>
          <w:tab w:val="left" w:pos="1757"/>
        </w:tabs>
        <w:spacing w:after="20"/>
        <w:rPr>
          <w:sz w:val="16"/>
          <w:szCs w:val="16"/>
        </w:rPr>
      </w:pPr>
      <w:r>
        <w:rPr>
          <w:rFonts w:ascii="Calibri" w:eastAsia="Calibri" w:hAnsi="Calibri" w:cs="Calibri"/>
          <w:b/>
          <w:bCs/>
          <w:noProof/>
          <w:color w:val="64A0AA"/>
          <w:sz w:val="16"/>
          <w:szCs w:val="16"/>
        </w:rPr>
        <w:t xml:space="preserve">Fee earner</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C. Adversarial-Solicitor with an Unusually Long Name for Testing</w:t>
      </w:r>
    </w:p>
    <w:p>
      <w:pPr>
        <w:keepNext/>
        <w:tabs>
          <w:tab w:val="left" w:pos="1757"/>
        </w:tabs>
        <w:spacing w:after="20"/>
        <w:rPr>
          <w:sz w:val="16"/>
          <w:szCs w:val="16"/>
        </w:rPr>
      </w:pPr>
      <w:r>
        <w:rPr>
          <w:rFonts w:ascii="Calibri" w:eastAsia="Calibri" w:hAnsi="Calibri" w:cs="Calibri"/>
          <w:b/>
          <w:bCs/>
          <w:noProof/>
          <w:color w:val="64A0AA"/>
          <w:sz w:val="16"/>
          <w:szCs w:val="16"/>
        </w:rPr>
        <w:t xml:space="preserve">Memberships</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None recorded</w:t>
      </w:r>
    </w:p>
    <w:p>
      <w:pPr>
        <w:keepNext/>
        <w:tabs>
          <w:tab w:val="left" w:pos="1757"/>
        </w:tabs>
        <w:spacing w:after="20"/>
        <w:rPr>
          <w:sz w:val="16"/>
          <w:szCs w:val="16"/>
        </w:rPr>
      </w:pPr>
      <w:r>
        <w:rPr>
          <w:rFonts w:ascii="Calibri" w:eastAsia="Calibri" w:hAnsi="Calibri" w:cs="Calibri"/>
          <w:b/>
          <w:bCs/>
          <w:noProof/>
          <w:color w:val="64A0AA"/>
          <w:sz w:val="16"/>
          <w:szCs w:val="16"/>
        </w:rPr>
        <w:t xml:space="preserve">Proceedings</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Public Law Children</w:t>
      </w:r>
    </w:p>
    <w:p>
      <w:pPr>
        <w:keepNext/>
        <w:tabs>
          <w:tab w:val="left" w:pos="1757"/>
        </w:tabs>
        <w:spacing w:after="20"/>
        <w:rPr>
          <w:sz w:val="16"/>
          <w:szCs w:val="16"/>
        </w:rPr>
      </w:pPr>
      <w:r>
        <w:rPr>
          <w:rFonts w:ascii="Calibri" w:eastAsia="Calibri" w:hAnsi="Calibri" w:cs="Calibri"/>
          <w:b/>
          <w:bCs/>
          <w:noProof/>
          <w:color w:val="64A0AA"/>
          <w:sz w:val="16"/>
          <w:szCs w:val="16"/>
        </w:rPr>
        <w:t xml:space="preserve">Court</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High Court</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STAGE 1 : Threshold route</w:t>
      </w:r>
      <w:r>
        <w:rPr>
          <w:rFonts w:ascii="Calibri" w:eastAsia="Calibri" w:hAnsi="Calibri" w:cs="Calibri"/>
          <w:noProof/>
          <w:color w:val="3F4447"/>
          <w:sz w:val="19"/>
          <w:szCs w:val="19"/>
        </w:rPr>
        <w:tab/>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Established by the Stage 1 selections below (Spec para 6.13).</w:t>
      </w:r>
    </w:p>
    <w:p>
      <w:pPr>
        <w:keepNext/>
        <w:spacing w:before="200" w:after="40"/>
      </w:pPr>
      <w:r>
        <w:rPr>
          <w:rFonts w:ascii="Calibri" w:eastAsia="Calibri" w:hAnsi="Calibri" w:cs="Calibri"/>
          <w:b/>
          <w:bCs/>
          <w:smallCaps/>
          <w:noProof/>
          <w:color w:val="666D70"/>
          <w:spacing w:val="16"/>
          <w:sz w:val="16"/>
          <w:szCs w:val="16"/>
        </w:rPr>
        <w:t xml:space="preserve">Limb (a) — exceptional competence, skill or expertise</w:t>
      </w:r>
    </w:p>
    <w:p>
      <w:pPr>
        <w:pBdr>
          <w:bottom w:val="single" w:sz="2" w:space="2" w:color="E3E7E8"/>
        </w:pBdr>
        <w:tabs>
          <w:tab w:val="left" w:pos="680"/>
        </w:tabs>
        <w:spacing w:before="20" w:after="40"/>
        <w:ind w:left="680" w:hanging="680"/>
      </w:pPr>
      <w:r>
        <w:rPr>
          <w:rFonts w:ascii="Calibri" w:eastAsia="Calibri" w:hAnsi="Calibri" w:cs="Calibri"/>
          <w:b/>
          <w:bCs/>
          <w:noProof/>
          <w:color w:val="64A0AA"/>
          <w:sz w:val="16"/>
          <w:szCs w:val="16"/>
        </w:rPr>
        <w:t xml:space="preserve">A01</w:t>
      </w:r>
      <w:r>
        <w:rPr>
          <w:rFonts w:ascii="Calibri" w:eastAsia="Calibri" w:hAnsi="Calibri" w:cs="Calibri"/>
          <w:b/>
          <w:bCs/>
          <w:noProof/>
          <w:color w:val="242628"/>
          <w:sz w:val="20"/>
          <w:szCs w:val="20"/>
        </w:rPr>
        <w:tab/>
      </w:r>
      <w:r>
        <w:rPr>
          <w:rFonts w:ascii="Calibri" w:eastAsia="Calibri" w:hAnsi="Calibri" w:cs="Calibri"/>
          <w:noProof/>
          <w:color w:val="3F4447"/>
          <w:sz w:val="19"/>
          <w:szCs w:val="19"/>
        </w:rPr>
        <w:t xml:space="preserve">Applied unusually detailed knowledge relevant to this case</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STAGE 2 : Level of enhancement</w:t>
      </w:r>
      <w:r>
        <w:rPr>
          <w:rFonts w:ascii="Calibri" w:eastAsia="Calibri" w:hAnsi="Calibri" w:cs="Calibri"/>
          <w:noProof/>
          <w:color w:val="3F4447"/>
          <w:sz w:val="19"/>
          <w:szCs w:val="19"/>
        </w:rPr>
        <w:tab/>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Established by the Stage 2 selections below (Spec para 6.15).</w:t>
      </w:r>
    </w:p>
    <w:p>
      <w:pPr>
        <w:keepNext/>
        <w:tabs>
          <w:tab w:val="left" w:pos="1190"/>
        </w:tabs>
        <w:spacing w:before="240" w:after="40"/>
        <w:ind w:left="1190" w:hanging="1190"/>
        <w:rPr>
          <w:sz w:val="16"/>
          <w:szCs w:val="16"/>
        </w:rPr>
      </w:pPr>
      <w:r>
        <w:rPr>
          <w:rFonts w:ascii="Calibri" w:eastAsia="Calibri" w:hAnsi="Calibri" w:cs="Calibri"/>
          <w:b/>
          <w:bCs/>
          <w:noProof/>
          <w:color w:val="64A0AA"/>
          <w:sz w:val="16"/>
          <w:szCs w:val="16"/>
        </w:rPr>
        <w:t xml:space="preserve">COMP 01</w:t>
      </w:r>
      <w:r>
        <w:rPr>
          <w:rFonts w:ascii="Calibri" w:eastAsia="Calibri" w:hAnsi="Calibri" w:cs="Calibri"/>
          <w:b/>
          <w:bCs/>
          <w:noProof/>
          <w:color w:val="242628"/>
          <w:sz w:val="20"/>
          <w:szCs w:val="20"/>
        </w:rPr>
        <w:tab/>
      </w:r>
      <w:r>
        <w:rPr>
          <w:rFonts w:ascii="Calibri" w:eastAsia="Calibri" w:hAnsi="Calibri" w:cs="Calibri"/>
          <w:b/>
          <w:bCs/>
          <w:smallCaps/>
          <w:noProof/>
          <w:color w:val="666D70"/>
          <w:spacing w:val="16"/>
          <w:sz w:val="16"/>
          <w:szCs w:val="16"/>
        </w:rPr>
        <w:t xml:space="preserve">Complexity relating to legal, expert or evidential issues</w:t>
      </w:r>
    </w:p>
    <w:p>
      <w:pPr>
        <w:keepLines/>
        <w:pBdr>
          <w:left w:val="single" w:sz="6" w:space="8" w:color="C8D0D2"/>
        </w:pBdr>
        <w:spacing w:after="180" w:line="276" w:lineRule="auto"/>
        <w:ind w:left="283"/>
      </w:pPr>
      <w:r>
        <w:rPr>
          <w:rFonts w:ascii="Calibri" w:eastAsia="Calibri" w:hAnsi="Calibri" w:cs="Calibri"/>
          <w:noProof/>
          <w:color w:val="3F4447"/>
          <w:sz w:val="19"/>
          <w:szCs w:val="19"/>
        </w:rPr>
        <w:t xml:space="preserve">From my working note of the previous summary:</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MATTER DETAIL</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Matter	Fake pasted matter</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STAGE 1 : Threshold route</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A01	Applied unusually detailed knowledge relevant to this case</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STAGE 2 : Level of enhancement</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CARE 05	Particular care with a vulnerable client</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PROPOSED UPLIFT</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Solicitor’s proposed uplift	95%</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EVIDENCE ON FILE : Confirmed</w:t>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The vertical tab above and this line complete the paste.</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PROPOSED UPLIFT</w:t>
      </w:r>
    </w:p>
    <w:p>
      <w:pPr>
        <w:tabs>
          <w:tab w:val="right" w:pos="3969"/>
        </w:tabs>
        <w:spacing w:after="140"/>
        <w:rPr>
          <w:sz w:val="17"/>
          <w:szCs w:val="17"/>
        </w:rPr>
      </w:pPr>
      <w:r>
        <w:rPr>
          <w:rFonts w:ascii="Calibri" w:eastAsia="Calibri" w:hAnsi="Calibri" w:cs="Calibri"/>
          <w:noProof/>
          <w:color w:val="666D70"/>
          <w:sz w:val="17"/>
          <w:szCs w:val="17"/>
        </w:rPr>
        <w:t xml:space="preserve">Solicitor’s proposed uplift</w:t>
      </w:r>
      <w:r>
        <w:rPr>
          <w:rFonts w:ascii="Calibri" w:eastAsia="Calibri" w:hAnsi="Calibri" w:cs="Calibri"/>
          <w:noProof/>
          <w:color w:val="666D70"/>
          <w:sz w:val="17"/>
          <w:szCs w:val="17"/>
        </w:rPr>
        <w:tab/>
      </w:r>
      <w:r>
        <w:rPr>
          <w:rFonts w:ascii="Calibri" w:eastAsia="Calibri" w:hAnsi="Calibri" w:cs="Calibri"/>
          <w:noProof/>
          <w:color w:val="666D70"/>
          <w:sz w:val="17"/>
          <w:szCs w:val="17"/>
        </w:rPr>
        <w:t xml:space="preserve">40%</w:t>
      </w:r>
    </w:p>
    <w:p>
      <w:pPr>
        <w:tabs>
          <w:tab w:val="right" w:pos="3969"/>
        </w:tabs>
        <w:spacing w:after="140"/>
        <w:rPr>
          <w:sz w:val="17"/>
          <w:szCs w:val="17"/>
        </w:rPr>
      </w:pPr>
      <w:r>
        <w:rPr>
          <w:rFonts w:ascii="Calibri" w:eastAsia="Calibri" w:hAnsi="Calibri" w:cs="Calibri"/>
          <w:noProof/>
          <w:color w:val="666D70"/>
          <w:sz w:val="17"/>
          <w:szCs w:val="17"/>
        </w:rPr>
        <w:t xml:space="preserve">Applicable ceiling for this court (CAG 12.2)</w:t>
      </w:r>
      <w:r>
        <w:rPr>
          <w:rFonts w:ascii="Calibri" w:eastAsia="Calibri" w:hAnsi="Calibri" w:cs="Calibri"/>
          <w:noProof/>
          <w:color w:val="666D70"/>
          <w:sz w:val="17"/>
          <w:szCs w:val="17"/>
        </w:rPr>
        <w:tab/>
      </w:r>
      <w:r>
        <w:rPr>
          <w:rFonts w:ascii="Calibri" w:eastAsia="Calibri" w:hAnsi="Calibri" w:cs="Calibri"/>
          <w:noProof/>
          <w:color w:val="666D70"/>
          <w:sz w:val="17"/>
          <w:szCs w:val="17"/>
        </w:rPr>
        <w:t xml:space="preserve">100%</w:t>
      </w:r>
    </w:p>
    <w:p>
      <w:pPr>
        <w:spacing w:after="140"/>
      </w:pPr>
    </w:p>
    <w:p>
      <w:pPr>
        <w:shd w:val="clear" w:color="auto" w:fill="EAF2F3"/>
        <w:tabs>
          <w:tab w:val="left" w:pos="1757"/>
        </w:tabs>
      </w:pPr>
      <w:r>
        <w:rPr>
          <w:rFonts w:ascii="Calibri" w:eastAsia="Calibri" w:hAnsi="Calibri" w:cs="Calibri"/>
          <w:b/>
          <w:bCs/>
          <w:noProof/>
          <w:color w:val="3F4447"/>
          <w:sz w:val="18"/>
          <w:szCs w:val="18"/>
        </w:rPr>
        <w:t xml:space="preserve">EVIDENCE ON FILE</w:t>
      </w:r>
      <w:r>
        <w:rPr>
          <w:rFonts w:ascii="Calibri" w:eastAsia="Calibri" w:hAnsi="Calibri" w:cs="Calibri"/>
          <w:noProof/>
          <w:color w:val="3F4447"/>
          <w:sz w:val="19"/>
          <w:szCs w:val="19"/>
        </w:rPr>
        <w:t xml:space="preserve"> : Unconfirmed</w:t>
      </w:r>
    </w:p>
    <w:p>
      <w:pPr>
        <w:keepNext/>
        <w:framePr w:wrap="around" w:vAnchor="page" w:hAnchor="page" w:x="1093" w:y="13610"/>
        <w:pBdr>
          <w:top w:val="single" w:sz="4" w:space="4" w:color="C8D0D2"/>
        </w:pBdr>
        <w:spacing w:after="60"/>
      </w:pPr>
      <w:r>
        <w:rPr>
          <w:rFonts w:ascii="Cambria" w:eastAsia="Cambria" w:hAnsi="Cambria" w:cs="Cambria"/>
          <w:b/>
          <w:bCs/>
          <w:noProof/>
          <w:color w:val="666D70"/>
          <w:sz w:val="18"/>
          <w:szCs w:val="18"/>
        </w:rPr>
        <w:t xml:space="preserve">About this summary</w:t>
      </w:r>
    </w:p>
    <w:p>
      <w:pPr>
        <w:keepLines/>
        <w:framePr w:wrap="around" w:vAnchor="page" w:hAnchor="page" w:x="1093" w:y="13610"/>
        <w:spacing w:after="0" w:line="276" w:lineRule="auto"/>
      </w:pPr>
      <w:r>
        <w:rPr>
          <w:rFonts w:ascii="Calibri" w:eastAsia="Calibri" w:hAnsi="Calibri" w:cs="Calibri"/>
          <w:noProof/>
          <w:color w:val="666D70"/>
          <w:sz w:val="15"/>
          <w:szCs w:val="15"/>
        </w:rPr>
        <w:t xml:space="preserve">This summary was generated from information entered by the named fee earner for secure transmission to Woodruff Billing Ltd and preparation of an LAA enhancement narrative. Woodruff Billing Ltd has not verified the information in this summary. The fee earner remains responsible for the accuracy and completeness of the facts and explanations provided. The proposed uplift is the fee earner’s proposal. The Collator neither calculates nor recommends a percentage. Woodruff Billing Ltd will decide what claim to advance after reviewing the file, and any enhancement allowed is a matter for the Legal Aid Agency.</w:t>
      </w:r>
    </w:p>
    <w:p>
      <w:pPr>
        <w:spacing w:after="100" w:line="259" w:lineRule="auto"/>
      </w:pPr>
      <w:r>
        <w:rPr>
          <w:rFonts w:ascii="Segoe UI Symbol" w:eastAsia="Segoe UI Symbol" w:hAnsi="Segoe UI Symbol" w:cs="Segoe UI Symbol"/>
          <w:b/>
          <w:bCs/>
          <w:noProof/>
          <w:color w:val="873D39"/>
        </w:rPr>
        <w:t xml:space="preserve">✗</w:t>
      </w:r>
      <w:r>
        <w:rPr>
          <w:rFonts w:ascii="Calibri" w:eastAsia="Calibri" w:hAnsi="Calibri" w:cs="Calibri"/>
          <w:b/>
          <w:bCs/>
          <w:noProof/>
          <w:color w:val="873D39"/>
        </w:rPr>
        <w:t xml:space="preserve"> </w:t>
      </w:r>
      <w:r>
        <w:rPr>
          <w:rFonts w:ascii="Calibri" w:eastAsia="Calibri" w:hAnsi="Calibri" w:cs="Calibri"/>
          <w:noProof/>
          <w:color w:val="3F4447"/>
          <w:sz w:val="19"/>
          <w:szCs w:val="19"/>
        </w:rPr>
        <w:t xml:space="preserve">  The fee earner has not confirmed that supporting evidence is held on the case file. The narrative will not assert that it is.</w:t>
      </w:r>
    </w:p>
    <w:sectPr>
      <w:footerReference w:type="default" r:id="rId7"/>
      <w:footerReference w:type="first" r:id="rId8"/>
      <w:pgSz w:w="11906" w:h="16838"/>
      <w:pgMar w:top="1020" w:right="1134" w:bottom="1077" w:left="1134" w:header="397" w:footer="510" w:gutter="0"/>
      <w:cols w:space="720"/>
      <w:titlePg/>
    </w:sectPr>
  </w:body>
</w:document>
</file>

<file path=word/footer1.xml><?xml version="1.0" encoding="utf-8"?>
<w:ftr xmlns:w="http://schemas.openxmlformats.org/wordprocessingml/2006/main">
  <w:p>
    <w:pPr>
      <w:pBdr>
        <w:top w:val="single" w:sz="4" w:space="6" w:color="C8D0D2"/>
      </w:pBdr>
      <w:tabs>
        <w:tab w:val="right" w:pos="9638"/>
      </w:tabs>
      <w:spacing w:after="20"/>
    </w:pPr>
    <w:r>
      <w:rPr>
        <w:rFonts w:ascii="Calibri" w:eastAsia="Calibri" w:hAnsi="Calibri" w:cs="Calibri"/>
        <w:noProof/>
        <w:color w:val="777D80"/>
        <w:sz w:val="15"/>
        <w:szCs w:val="15"/>
      </w:rPr>
      <w:t xml:space="preserve">CONFIDENTIAL — Prepared for Woodruff Billing Ltd · © 2026</w:t>
    </w:r>
    <w:r>
      <w:rPr>
        <w:rFonts w:ascii="Calibri" w:eastAsia="Calibri" w:hAnsi="Calibri" w:cs="Calibri"/>
        <w:noProof/>
        <w:color w:val="777D80"/>
        <w:sz w:val="15"/>
        <w:szCs w:val="15"/>
      </w:rPr>
      <w:tab/>
      <w:t xml:space="preserve">Page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PAGE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r>
      <w:rPr>
        <w:rFonts w:ascii="Calibri" w:eastAsia="Calibri" w:hAnsi="Calibri" w:cs="Calibri"/>
        <w:noProof/>
        <w:color w:val="777D80"/>
        <w:sz w:val="15"/>
        <w:szCs w:val="15"/>
      </w:rPr>
      <w:t xml:space="preserve"> of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NUMPAGES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p>
  <w:p>
    <w:pPr>
      <w:tabs>
        <w:tab w:val="right" w:pos="9638"/>
      </w:tabs>
    </w:pPr>
    <w:r>
      <w:rPr>
        <w:rFonts w:ascii="Calibri" w:eastAsia="Calibri" w:hAnsi="Calibri" w:cs="Calibri"/>
        <w:noProof/>
        <w:color w:val="777D80"/>
        <w:sz w:val="15"/>
        <w:szCs w:val="15"/>
      </w:rPr>
      <w:t xml:space="preserve">Uplift Collator v1.13 — 7 August 2026</w:t>
    </w:r>
  </w:p>
</w:ftr>
</file>

<file path=word/footer2.xml><?xml version="1.0" encoding="utf-8"?>
<w:ftr xmlns:w="http://schemas.openxmlformats.org/wordprocessingml/2006/main">
  <w:p>
    <w:pPr>
      <w:pBdr>
        <w:top w:val="single" w:sz="4" w:space="6" w:color="C8D0D2"/>
      </w:pBdr>
      <w:tabs>
        <w:tab w:val="right" w:pos="9638"/>
      </w:tabs>
      <w:spacing w:after="20"/>
    </w:pPr>
    <w:r>
      <w:rPr>
        <w:rFonts w:ascii="Calibri" w:eastAsia="Calibri" w:hAnsi="Calibri" w:cs="Calibri"/>
        <w:noProof/>
        <w:color w:val="777D80"/>
        <w:sz w:val="15"/>
        <w:szCs w:val="15"/>
      </w:rPr>
      <w:t xml:space="preserve">CONFIDENTIAL — Prepared for Woodruff Billing Ltd · © 2026</w:t>
    </w:r>
    <w:r>
      <w:rPr>
        <w:rFonts w:ascii="Calibri" w:eastAsia="Calibri" w:hAnsi="Calibri" w:cs="Calibri"/>
        <w:noProof/>
        <w:color w:val="777D80"/>
        <w:sz w:val="15"/>
        <w:szCs w:val="15"/>
      </w:rPr>
      <w:tab/>
      <w:t xml:space="preserve">Page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PAGE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r>
      <w:rPr>
        <w:rFonts w:ascii="Calibri" w:eastAsia="Calibri" w:hAnsi="Calibri" w:cs="Calibri"/>
        <w:noProof/>
        <w:color w:val="777D80"/>
        <w:sz w:val="15"/>
        <w:szCs w:val="15"/>
      </w:rPr>
      <w:t xml:space="preserve"> of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NUMPAGES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p>
  <w:p>
    <w:pPr>
      <w:tabs>
        <w:tab w:val="right" w:pos="9638"/>
      </w:tabs>
    </w:pPr>
    <w:r>
      <w:rPr>
        <w:rFonts w:ascii="Calibri" w:eastAsia="Calibri" w:hAnsi="Calibri" w:cs="Calibri"/>
        <w:noProof/>
        <w:color w:val="666D70"/>
        <w:sz w:val="15"/>
        <w:szCs w:val="15"/>
      </w:rPr>
      <w:t xml:space="preserve">Based on LAA Costs Assessment Guidance (Version 1a, 23 September 2024)</w:t>
    </w:r>
    <w:r>
      <w:rPr>
        <w:rFonts w:ascii="Calibri" w:eastAsia="Calibri" w:hAnsi="Calibri" w:cs="Calibri"/>
        <w:noProof/>
        <w:color w:val="666D70"/>
        <w:sz w:val="15"/>
        <w:szCs w:val="15"/>
      </w:rPr>
      <w:br/>
    </w:r>
    <w:r>
      <w:rPr>
        <w:rFonts w:ascii="Calibri" w:eastAsia="Calibri" w:hAnsi="Calibri" w:cs="Calibri"/>
        <w:noProof/>
        <w:color w:val="777D80"/>
        <w:sz w:val="15"/>
        <w:szCs w:val="15"/>
      </w:rPr>
      <w:t xml:space="preserve">Uplift Collator v1.13.     </w:t>
    </w:r>
    <w:r>
      <w:rPr>
        <w:rFonts w:ascii="Calibri" w:eastAsia="Calibri" w:hAnsi="Calibri" w:cs="Calibri"/>
        <w:noProof/>
        <w:color w:val="666D70"/>
        <w:sz w:val="15"/>
        <w:szCs w:val="15"/>
      </w:rPr>
      <w:t xml:space="preserve">Generated 7 August 2026</w:t>
    </w:r>
  </w:p>
</w:ftr>
</file>

<file path=word/styles.xml><?xml version="1.0" encoding="utf-8"?>
<w:styles xmlns:w="http://schemas.openxmlformats.org/wordprocessingml/2006/main">
  <w:docDefaults>
    <w:rPrDefault>
      <w:rPr>
        <w:rFonts w:ascii="Calibri" w:eastAsia="Calibri" w:hAnsi="Calibri" w:cs="Calibri"/>
        <w:kern w:val="2"/>
        <w:sz w:val="24"/>
        <w:szCs w:val="24"/>
        <w:lang w:val="en-GB" w:eastAsia="en-GB" w:bidi="ar-SA"/>
      </w:rPr>
    </w:rPrDefault>
    <w:pPrDefault>
      <w:pPr>
        <w:spacing w:after="160" w:line="278"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7" Type="http://schemas.openxmlformats.org/officeDocument/2006/relationships/footer" Target="footer1.xml"/><Relationship Id="rId8" Type="http://schemas.openxmlformats.org/officeDocument/2006/relationships/footer" Target="footer2.xml"/></Relationships>
</file>

<file path=docProps/core.xml><?xml version="1.0" encoding="utf-8"?>
<cp:coreProperties xmlns:cp="http://schemas.openxmlformats.org/package/2006/metadata/core-properties" xmlns:dc="http://purl.org/dc/elements/1.1/" xmlns:dcterms="http://purl.org/dc/terms/" xmlns:xsi="http://www.w3.org/2001/XMLSchema-instance">
  <dc:title>Uplift Justification</dc:title>
  <dc:creator>Uplift Collator v1.13</dc:creator>
  <cp:lastModifiedBy>Uplift Collator v1.13</cp:lastModifiedBy>
  <dcterms:created xsi:type="dcterms:W3CDTF">2026-08-07T09:00:00Z</dcterms:created>
  <dcterms:modified xsi:type="dcterms:W3CDTF">2026-08-07T09:00:00Z</dcterms:modified>
</cp:coreProperties>
</file>