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FIERCE — Public Technical KPI Annex for DEPOSIUM GeoAI</w:t>
      </w:r>
    </w:p>
    <w:p>
      <w:r/>
      <w:r>
        <w:rPr>
          <w:b/>
        </w:rPr>
        <w:t>Project:</w:t>
      </w:r>
      <w:r>
        <w:t xml:space="preserve"> DEPOSIUM SPACE / The Seed Ship — FIERCE_1OC_22</w:t>
      </w:r>
    </w:p>
    <w:p>
      <w:r/>
      <w:r>
        <w:rPr>
          <w:b/>
        </w:rPr>
        <w:t>Funding:</w:t>
      </w:r>
      <w:r>
        <w:t xml:space="preserve"> Funded by FIERCE through its Financial Support Programme. FIERCE receives European Union funding under Horizon Europe, Grant Agreement 101177496. The authors are responsible for the content; no EU or HADEA endorsement is implied.</w:t>
      </w:r>
    </w:p>
    <w:p>
      <w:r>
        <w:rPr>
          <w:b/>
        </w:rPr>
        <w:t>Technical evidence cutoff:</w:t>
      </w:r>
      <w:r>
        <w:t xml:space="preserve"> 28 October 2026</w:t>
      </w:r>
    </w:p>
    <w:p>
      <w:pPr/>
      <w:r>
        <w:rPr>
          <w:b/>
        </w:rPr>
        <w:t>KPI 1 reporting clarification:</w:t>
      </w:r>
      <w:r>
        <w:t xml:space="preserve"> 30 October 2026, using the Milestone 2 project report dated 29 October 2026.</w:t>
      </w:r>
    </w:p>
    <w:p>
      <w:r>
        <w:rPr>
          <w:b/>
        </w:rPr>
        <w:t>Purpose:</w:t>
      </w:r>
      <w:r>
        <w:t xml:space="preserve"> provide the public technical evidence supporting the Milestone 2 project report, with an explicitly scoped summary of reported KPI 1 completion.</w:t>
      </w:r>
    </w:p>
    <w:p>
      <w:pPr>
        <w:pStyle w:val="Heading1"/>
      </w:pPr>
      <w:r>
        <w:t>1. Provenance and how to read this public report</w:t>
      </w:r>
    </w:p>
    <w:p>
      <w:r>
        <w:t xml:space="preserve">The technical part of this annex adapts the English FIERCE evidence report dated 28 October 2026. The original report file was recorded at source-report commit </w:t>
      </w:r>
      <w:r>
        <w:rPr>
          <w:rFonts w:ascii="Consolas" w:hAnsi="Consolas"/>
        </w:rPr>
        <w:t>fe21e58b8ee5baaa800e41601248563310825fa5</w:t>
      </w:r>
      <w:r>
        <w:t xml:space="preserve">, with SHA-256 </w:t>
      </w:r>
      <w:r>
        <w:rPr>
          <w:rFonts w:ascii="Consolas" w:hAnsi="Consolas"/>
        </w:rPr>
        <w:t>ee95442027f62e056c6f84a8a451a4d87747494cc7503cc6818973dc2a014492</w:t>
      </w:r>
      <w:r>
        <w:t xml:space="preserve">. Its technical citations refer to the separate evidence-source commit </w:t>
      </w:r>
      <w:r>
        <w:rPr>
          <w:rFonts w:ascii="Consolas" w:hAnsi="Consolas"/>
        </w:rPr>
        <w:t>d4bea08f41b20b337ee8152704c7ed5231876072</w:t>
      </w:r>
      <w:r>
        <w:t>. The report itself was not present at that earlier evidence commit. This DOCX edition is newly generated from the public English Markdown edition; it is not a recovered original Word document.</w:t>
      </w:r>
    </w:p>
    <w:p>
      <w:r>
        <w:t>Targets below are transcribed from the supplied FIERCE Transformation Plan: deliverables and KPIs on pages 8–9, impact contributions on page 11, and maturity targets on page 2. The contractual originals and commercial materials are not published here. This report does not certify the adapted scope's conformity with the original plan.</w:t>
      </w:r>
    </w:p>
    <w:p>
      <w:pPr/>
      <w:r>
        <w:t xml:space="preserve">The confidential </w:t>
      </w:r>
      <w:r>
        <w:rPr>
          <w:b/>
        </w:rPr>
        <w:t>Milestone 2 project report</w:t>
      </w:r>
      <w:r>
        <w:t xml:space="preserve"> is the overall project account. This </w:t>
      </w:r>
      <w:r>
        <w:rPr>
          <w:b/>
        </w:rPr>
        <w:t>public technical annex</w:t>
      </w:r>
      <w:r>
        <w:t xml:space="preserve"> explains the KPI mapping and links to selected technical proofs. The individual </w:t>
      </w:r>
      <w:r>
        <w:rPr>
          <w:b/>
        </w:rPr>
        <w:t>evidence excerpts and records</w:t>
      </w:r>
      <w:r>
        <w:t xml:space="preserve"> document those cited results and decisions. These are complementary documents; the public annex is not the full milestone report or its commercial evidence package.</w:t>
      </w:r>
    </w:p>
    <w:p>
      <w:r>
        <w:t xml:space="preserve">The </w:t>
      </w:r>
      <w:hyperlink r:id="rId9">
        <w:r>
          <w:rPr>
            <w:color w:val="0563C1"/>
            <w:u w:val="single"/>
          </w:rPr>
          <w:t>evidence index</w:t>
        </w:r>
      </w:hyperlink>
      <w:r>
        <w:t xml:space="preserve"> and </w:t>
      </w:r>
      <w:hyperlink r:id="rId10">
        <w:r>
          <w:rPr>
            <w:color w:val="0563C1"/>
            <w:u w:val="single"/>
          </w:rPr>
          <w:t>source map</w:t>
        </w:r>
      </w:hyperlink>
      <w:r>
        <w:t xml:space="preserve"> identify the curated technical excerpts and bounded acceptance/integration records supporting the report. Original-source hashes identify retained provenance; curated excerpts have their own hashes. Publication does not rerun the experiments, requalify a deployment or independently certify an acceptance. Unpublished underlying artifacts and business evidence remain separate from these public excerpts.</w:t>
      </w:r>
    </w:p>
    <w:p>
      <w:r>
        <w:t xml:space="preserve">Three levels are distinguished: </w:t>
      </w:r>
      <w:r>
        <w:rPr>
          <w:b/>
        </w:rPr>
        <w:t>implementation</w:t>
      </w:r>
      <w:r>
        <w:t xml:space="preserve"> (code, data and calculations), </w:t>
      </w:r>
      <w:r>
        <w:rPr>
          <w:b/>
        </w:rPr>
        <w:t>observed qualification</w:t>
      </w:r>
      <w:r>
        <w:t xml:space="preserve"> (dated tests, reproduction and demonstrations), and </w:t>
      </w:r>
      <w:r>
        <w:rPr>
          <w:b/>
        </w:rPr>
        <w:t>internal acceptance</w:t>
      </w:r>
      <w:r>
        <w:t xml:space="preserve"> by Nicolas/Deposium. Internal acceptance is not external FIERCE approval or positive validation of every scientific hypothesis.</w:t>
      </w:r>
    </w:p>
    <w:p>
      <w:r>
        <w:t xml:space="preserve">The </w:t>
      </w:r>
      <w:hyperlink r:id="rId11">
        <w:r>
          <w:rPr>
            <w:color w:val="0563C1"/>
            <w:u w:val="single"/>
          </w:rPr>
          <w:t>acceptance scoreboard</w:t>
        </w:r>
      </w:hyperlink>
      <w:r>
        <w:t xml:space="preserve"> records </w:t>
      </w:r>
      <w:r>
        <w:rPr>
          <w:b/>
        </w:rPr>
        <w:t>15/15 B/O lots accepted within adopted scopes</w:t>
      </w:r>
      <w:r>
        <w:t>. This count is distinct from the plan's five scientific work packages and six modules; it is neither a predictive success rate nor a statement that all original stronger objectives were met.</w:t>
      </w:r>
    </w:p>
    <w:p>
      <w:pPr>
        <w:pStyle w:val="Heading1"/>
      </w:pPr>
      <w:r>
        <w:t>2. Summary of the plan’s KPIs</w:t>
      </w:r>
    </w:p>
    <w:tbl>
      <w:tblPr>
        <w:tblStyle w:val="LightShading-Accent1"/>
        <w:tblW w:type="auto" w:w="0"/>
        <w:tblLook w:firstColumn="1" w:firstRow="1" w:lastColumn="0" w:lastRow="0" w:noHBand="0" w:noVBand="1" w:val="04A0"/>
      </w:tblPr>
      <w:tblGrid>
        <w:gridCol w:w="2508"/>
        <w:gridCol w:w="2508"/>
        <w:gridCol w:w="2508"/>
        <w:gridCol w:w="2508"/>
      </w:tblGrid>
      <w:tr>
        <w:trPr>
          <w:tblHeader/>
        </w:trPr>
        <w:tc>
          <w:tcPr>
            <w:tcW w:type="dxa" w:w="2508"/>
          </w:tcPr>
          <w:p>
            <w:r>
              <w:rPr>
                <w:sz w:val="18"/>
              </w:rPr>
              <w:t>KPI</w:t>
            </w:r>
          </w:p>
        </w:tc>
        <w:tc>
          <w:tcPr>
            <w:tcW w:type="dxa" w:w="2508"/>
          </w:tcPr>
          <w:p>
            <w:r>
              <w:rPr>
                <w:sz w:val="18"/>
              </w:rPr>
              <w:t>Stated target</w:t>
            </w:r>
          </w:p>
        </w:tc>
        <w:tc>
          <w:tcPr>
            <w:tcW w:type="dxa" w:w="2508"/>
          </w:tcPr>
          <w:p>
            <w:r>
              <w:rPr>
                <w:sz w:val="18"/>
              </w:rPr>
              <w:t>Implementation and available evidence</w:t>
            </w:r>
          </w:p>
        </w:tc>
        <w:tc>
          <w:tcPr>
            <w:tcW w:type="dxa" w:w="2508"/>
          </w:tcPr>
          <w:p>
            <w:r>
              <w:rPr>
                <w:sz w:val="18"/>
              </w:rPr>
              <w:t>Supporting material or limitation to retain in the assessment</w:t>
            </w:r>
          </w:p>
        </w:tc>
      </w:tr>
      <w:tr>
        <w:tc>
          <w:tcPr>
            <w:tcW w:type="dxa" w:w="2508"/>
          </w:tcPr>
          <w:p>
            <w:r>
              <w:rPr>
                <w:b/>
              </w:rPr>
              <w:t>1 — Commercial validation / D1</w:t>
            </w:r>
          </w:p>
        </w:tc>
        <w:tc>
          <w:tcPr>
            <w:tcW w:type="dxa" w:w="2508"/>
          </w:tcPr>
          <w:p>
            <w:r>
              <w:t>5/5 service components</w:t>
            </w:r>
          </w:p>
        </w:tc>
        <w:tc>
          <w:tcPr>
            <w:tcW w:type="dxa" w:w="2508"/>
          </w:tcPr>
          <w:p>
            <w:r>
              <w:rPr>
                <w:b/>
              </w:rPr>
              <w:t>5/5 reported completed</w:t>
            </w:r>
            <w:r>
              <w:t xml:space="preserve"> in the 29 October 2026 Milestone 2 report.</w:t>
            </w:r>
          </w:p>
        </w:tc>
        <w:tc>
          <w:tcPr>
            <w:tcW w:type="dxa" w:w="2508"/>
          </w:tcPr>
          <w:p>
            <w:r>
              <w:t>0/5 is the baseline. Confidential D1 materials are referenced separately; fundraising preparation is not capital raised. See section 3.</w:t>
            </w:r>
          </w:p>
        </w:tc>
      </w:tr>
      <w:tr>
        <w:tc>
          <w:tcPr>
            <w:tcW w:type="dxa" w:w="2508"/>
          </w:tcPr>
          <w:p>
            <w:r>
              <w:rPr>
                <w:sz w:val="18"/>
              </w:rPr>
            </w:r>
            <w:r>
              <w:rPr>
                <w:b/>
                <w:sz w:val="18"/>
              </w:rPr>
              <w:t>2 — Pattern mining / D2</w:t>
            </w:r>
            <w:r>
              <w:rPr>
                <w:sz w:val="18"/>
              </w:rPr>
            </w:r>
          </w:p>
        </w:tc>
        <w:tc>
          <w:tcPr>
            <w:tcW w:type="dxa" w:w="2508"/>
          </w:tcPr>
          <w:p>
            <w:r>
              <w:rPr>
                <w:sz w:val="18"/>
              </w:rPr>
              <w:t>5/5 work packages delivered and integrated</w:t>
            </w:r>
          </w:p>
        </w:tc>
        <w:tc>
          <w:tcPr>
            <w:tcW w:type="dxa" w:w="2508"/>
          </w:tcPr>
          <w:p>
            <w:r>
              <w:rPr>
                <w:sz w:val="18"/>
              </w:rPr>
              <w:t>Five documented areas: a real-data comparison, integrated native extraction, evaluation, temporal/spatial extensions and packaging.</w:t>
            </w:r>
          </w:p>
        </w:tc>
        <w:tc>
          <w:tcPr>
            <w:tcW w:type="dxa" w:w="2508"/>
          </w:tcPr>
          <w:p>
            <w:r>
              <w:rPr>
                <w:sz w:val="18"/>
              </w:rPr>
              <w:t>Acceptance is within adopted scopes; negative results and the absence of calibrated confidence remain explicit.</w:t>
            </w:r>
          </w:p>
        </w:tc>
      </w:tr>
      <w:tr>
        <w:tc>
          <w:tcPr>
            <w:tcW w:type="dxa" w:w="2508"/>
          </w:tcPr>
          <w:p>
            <w:r>
              <w:rPr>
                <w:sz w:val="18"/>
              </w:rPr>
            </w:r>
            <w:r>
              <w:rPr>
                <w:b/>
                <w:sz w:val="18"/>
              </w:rPr>
              <w:t>3 — Geospatial pipeline / D3</w:t>
            </w:r>
            <w:r>
              <w:rPr>
                <w:sz w:val="18"/>
              </w:rPr>
            </w:r>
          </w:p>
        </w:tc>
        <w:tc>
          <w:tcPr>
            <w:tcW w:type="dxa" w:w="2508"/>
          </w:tcPr>
          <w:p>
            <w:r>
              <w:rPr>
                <w:sz w:val="18"/>
              </w:rPr>
              <w:t>6/6 modules delivered and operational</w:t>
            </w:r>
          </w:p>
        </w:tc>
        <w:tc>
          <w:tcPr>
            <w:tcW w:type="dxa" w:w="2508"/>
          </w:tcPr>
          <w:p>
            <w:r>
              <w:rPr>
                <w:sz w:val="18"/>
              </w:rPr>
              <w:t>B1 through B6 delivered and accepted: zones, ERA5, NDVI, unified data, forecasts with fallback, and a two-level engine.</w:t>
            </w:r>
          </w:p>
        </w:tc>
        <w:tc>
          <w:tcPr>
            <w:tcW w:type="dxa" w:w="2508"/>
          </w:tcPr>
          <w:p>
            <w:r>
              <w:rPr>
                <w:sz w:val="18"/>
              </w:rPr>
              <w:t xml:space="preserve">Explain the FourCastNet/AIFS and explanatory-index/confidence adaptations; attach the requested video on the </w:t>
            </w:r>
            <w:r>
              <w:rPr>
                <w:rFonts w:ascii="Consolas" w:hAnsi="Consolas"/>
                <w:sz w:val="18"/>
              </w:rPr>
              <w:t>.ai</w:t>
            </w:r>
            <w:r>
              <w:rPr>
                <w:sz w:val="18"/>
              </w:rPr>
              <w:t xml:space="preserve"> SaaS platform.</w:t>
            </w:r>
          </w:p>
        </w:tc>
      </w:tr>
      <w:tr>
        <w:tc>
          <w:tcPr>
            <w:tcW w:type="dxa" w:w="2508"/>
          </w:tcPr>
          <w:p>
            <w:r>
              <w:rPr>
                <w:sz w:val="18"/>
              </w:rPr>
            </w:r>
            <w:r>
              <w:rPr>
                <w:b/>
                <w:sz w:val="18"/>
              </w:rPr>
              <w:t>4 — Indicators across the pilots</w:t>
            </w:r>
            <w:r>
              <w:rPr>
                <w:sz w:val="18"/>
              </w:rPr>
            </w:r>
          </w:p>
        </w:tc>
        <w:tc>
          <w:tcPr>
            <w:tcW w:type="dxa" w:w="2508"/>
          </w:tcPr>
          <w:p>
            <w:r>
              <w:rPr>
                <w:sz w:val="18"/>
              </w:rPr>
              <w:t>At least 3 indicators across all 3 pilots, analysed together</w:t>
            </w:r>
          </w:p>
        </w:tc>
        <w:tc>
          <w:tcPr>
            <w:tcW w:type="dxa" w:w="2508"/>
          </w:tcPr>
          <w:p>
            <w:r>
              <w:rPr>
                <w:sz w:val="18"/>
              </w:rPr>
              <w:t>NDVI, temperature and precipitation in 130 joined historical observations; a qualified conversational access path and reproducible joint analyses.</w:t>
            </w:r>
          </w:p>
        </w:tc>
        <w:tc>
          <w:tcPr>
            <w:tcW w:type="dxa" w:w="2508"/>
          </w:tcPr>
          <w:p>
            <w:r>
              <w:rPr>
                <w:sz w:val="18"/>
              </w:rPr>
              <w:t>This does not prove continuous production monitoring. The combined-use video remains a separate piece of evidence.</w:t>
            </w:r>
          </w:p>
        </w:tc>
      </w:tr>
      <w:tr>
        <w:tc>
          <w:tcPr>
            <w:tcW w:type="dxa" w:w="2508"/>
          </w:tcPr>
          <w:p>
            <w:r>
              <w:rPr>
                <w:sz w:val="18"/>
              </w:rPr>
            </w:r>
            <w:r>
              <w:rPr>
                <w:b/>
                <w:sz w:val="18"/>
              </w:rPr>
              <w:t>7 — Environmental indicators</w:t>
            </w:r>
            <w:r>
              <w:rPr>
                <w:sz w:val="18"/>
              </w:rPr>
            </w:r>
          </w:p>
        </w:tc>
        <w:tc>
          <w:tcPr>
            <w:tcW w:type="dxa" w:w="2508"/>
          </w:tcPr>
          <w:p>
            <w:r>
              <w:rPr>
                <w:sz w:val="18"/>
              </w:rPr>
              <w:t>More than 2 new indicators using the data covered by FIERCE</w:t>
            </w:r>
          </w:p>
        </w:tc>
        <w:tc>
          <w:tcPr>
            <w:tcW w:type="dxa" w:w="2508"/>
          </w:tcPr>
          <w:p>
            <w:r>
              <w:rPr>
                <w:sz w:val="18"/>
              </w:rPr>
              <w:t>Three Copernicus indicators can be used together; Sentinel-2 NDVI and two ERA5 quantities are identified separately.</w:t>
            </w:r>
          </w:p>
        </w:tc>
        <w:tc>
          <w:tcPr>
            <w:tcW w:type="dxa" w:w="2508"/>
          </w:tcPr>
          <w:p>
            <w:r>
              <w:rPr>
                <w:sz w:val="18"/>
              </w:rPr>
              <w:t>The plan expressly reserves FIERCE’s interpretation of “satellite data”. These are not three independent satellite observations.</w:t>
            </w:r>
          </w:p>
        </w:tc>
      </w:tr>
      <w:tr>
        <w:tc>
          <w:tcPr>
            <w:tcW w:type="dxa" w:w="2508"/>
          </w:tcPr>
          <w:p>
            <w:r>
              <w:rPr>
                <w:sz w:val="18"/>
              </w:rPr>
            </w:r>
            <w:r>
              <w:rPr>
                <w:b/>
                <w:sz w:val="18"/>
              </w:rPr>
              <w:t>8 — Pollution</w:t>
            </w:r>
            <w:r>
              <w:rPr>
                <w:sz w:val="18"/>
              </w:rPr>
            </w:r>
          </w:p>
        </w:tc>
        <w:tc>
          <w:tcPr>
            <w:tcW w:type="dxa" w:w="2508"/>
          </w:tcPr>
          <w:p>
            <w:r>
              <w:rPr>
                <w:sz w:val="18"/>
              </w:rPr>
              <w:t>The plan claims no direct reduction &gt;5%</w:t>
            </w:r>
          </w:p>
        </w:tc>
        <w:tc>
          <w:tcPr>
            <w:tcW w:type="dxa" w:w="2508"/>
          </w:tcPr>
          <w:p>
            <w:r>
              <w:rPr>
                <w:sz w:val="18"/>
              </w:rPr>
              <w:t>No measured pollution reduction is claimed.</w:t>
            </w:r>
          </w:p>
        </w:tc>
        <w:tc>
          <w:tcPr>
            <w:tcW w:type="dxa" w:w="2508"/>
          </w:tcPr>
          <w:p>
            <w:r>
              <w:rPr>
                <w:sz w:val="18"/>
              </w:rPr>
              <w:t>Retain the plan’s answer; no impact value is inferred from alerts.</w:t>
            </w:r>
          </w:p>
        </w:tc>
      </w:tr>
      <w:tr>
        <w:tc>
          <w:tcPr>
            <w:tcW w:type="dxa" w:w="2508"/>
          </w:tcPr>
          <w:p>
            <w:r>
              <w:rPr>
                <w:sz w:val="18"/>
              </w:rPr>
            </w:r>
            <w:r>
              <w:rPr>
                <w:b/>
                <w:sz w:val="18"/>
              </w:rPr>
              <w:t>9 — Resource efficiency</w:t>
            </w:r>
            <w:r>
              <w:rPr>
                <w:sz w:val="18"/>
              </w:rPr>
            </w:r>
          </w:p>
        </w:tc>
        <w:tc>
          <w:tcPr>
            <w:tcW w:type="dxa" w:w="2508"/>
          </w:tcPr>
          <w:p>
            <w:r>
              <w:rPr>
                <w:sz w:val="18"/>
              </w:rPr>
              <w:t>An expected improvement of 5–10% in applicable use cases</w:t>
            </w:r>
          </w:p>
        </w:tc>
        <w:tc>
          <w:tcPr>
            <w:tcW w:type="dxa" w:w="2508"/>
          </w:tcPr>
          <w:p>
            <w:r>
              <w:rPr>
                <w:sz w:val="18"/>
              </w:rPr>
              <w:t>The features can support decision-making scenarios; the technical audit identified no measurement of this gain.</w:t>
            </w:r>
          </w:p>
        </w:tc>
        <w:tc>
          <w:tcPr>
            <w:tcW w:type="dxa" w:w="2508"/>
          </w:tcPr>
          <w:p>
            <w:r>
              <w:rPr>
                <w:sz w:val="18"/>
              </w:rPr>
              <w:t>Attach a quantified scenario and its assumptions; distinguish a projection from an observed gain.</w:t>
            </w:r>
          </w:p>
        </w:tc>
      </w:tr>
      <w:tr>
        <w:tc>
          <w:tcPr>
            <w:tcW w:type="dxa" w:w="2508"/>
          </w:tcPr>
          <w:p>
            <w:r>
              <w:rPr>
                <w:sz w:val="18"/>
              </w:rPr>
            </w:r>
            <w:r>
              <w:rPr>
                <w:b/>
                <w:sz w:val="18"/>
              </w:rPr>
              <w:t>10 — Critical raw materials</w:t>
            </w:r>
            <w:r>
              <w:rPr>
                <w:sz w:val="18"/>
              </w:rPr>
            </w:r>
          </w:p>
        </w:tc>
        <w:tc>
          <w:tcPr>
            <w:tcW w:type="dxa" w:w="2508"/>
          </w:tcPr>
          <w:p>
            <w:r>
              <w:rPr>
                <w:sz w:val="18"/>
              </w:rPr>
              <w:t>Outside the stated scope</w:t>
            </w:r>
          </w:p>
        </w:tc>
        <w:tc>
          <w:tcPr>
            <w:tcW w:type="dxa" w:w="2508"/>
          </w:tcPr>
          <w:p>
            <w:r>
              <w:rPr>
                <w:sz w:val="18"/>
              </w:rPr>
              <w:t>No CRM recycling, recovery or extraction objective is claimed.</w:t>
            </w:r>
          </w:p>
        </w:tc>
        <w:tc>
          <w:tcPr>
            <w:tcW w:type="dxa" w:w="2508"/>
          </w:tcPr>
          <w:p>
            <w:r>
              <w:rPr>
                <w:sz w:val="18"/>
              </w:rPr>
              <w:t>Retain this scope boundary.</w:t>
            </w:r>
          </w:p>
        </w:tc>
      </w:tr>
    </w:tbl>
    <w:p>
      <w:r>
        <w:t>KPIs 5 and 6 do not appear in the supplied plan; no additional objective is created here.</w:t>
      </w:r>
    </w:p>
    <w:p>
      <w:pPr>
        <w:pStyle w:val="Heading1"/>
      </w:pPr>
      <w:r>
        <w:t>3. KPI 1 / D1 — Market study and commercial readiness</w:t>
      </w:r>
    </w:p>
    <w:p>
      <w:r>
        <w:rPr>
          <w:b/>
        </w:rPr>
        <w:t>Responsibility for documentation: CLELYA Conseil, Amandine and Deposium coordination.</w:t>
      </w:r>
    </w:p>
    <w:p>
      <w:pPr/>
      <w:r>
        <w:rPr>
          <w:b/>
        </w:rPr>
        <w:t>Metric and reported result.</w:t>
      </w:r>
      <w:r>
        <w:t xml:space="preserve"> The Milestone 2 project report dated 29 October 2026, section 2.2 (KPI table), records a </w:t>
      </w:r>
      <w:r>
        <w:rPr>
          <w:b/>
        </w:rPr>
        <w:t>baseline of 0/5 service components</w:t>
      </w:r>
      <w:r>
        <w:t xml:space="preserve">, a </w:t>
      </w:r>
      <w:r>
        <w:rPr>
          <w:b/>
        </w:rPr>
        <w:t>target of 5/5</w:t>
      </w:r>
      <w:r>
        <w:t xml:space="preserve"> and an </w:t>
      </w:r>
      <w:r>
        <w:rPr>
          <w:b/>
        </w:rPr>
        <w:t>achieved result of 5/5</w:t>
      </w:r>
      <w:r>
        <w:t>. The metric is completion of five commercial-validation service components:</w:t>
      </w:r>
    </w:p>
    <w:p>
      <w:pPr>
        <w:pStyle w:val="ListBullet"/>
      </w:pPr>
      <w:r>
        <w:t>Market analysis.</w:t>
      </w:r>
    </w:p>
    <w:p>
      <w:pPr>
        <w:pStyle w:val="ListBullet"/>
      </w:pPr>
      <w:r>
        <w:t xml:space="preserve">Field research and interview synthesis: </w:t>
      </w:r>
      <w:r>
        <w:rPr>
          <w:b/>
        </w:rPr>
        <w:t>15 qualitative interviews with 13 organisations</w:t>
      </w:r>
      <w:r>
        <w:t>, as reported in the milestone report.</w:t>
      </w:r>
    </w:p>
    <w:p>
      <w:pPr>
        <w:pStyle w:val="ListBullet"/>
      </w:pPr>
      <w:r>
        <w:t>Revenue-model and pricing recommendations.</w:t>
      </w:r>
    </w:p>
    <w:p>
      <w:pPr>
        <w:pStyle w:val="ListBullet"/>
      </w:pPr>
      <w:r>
        <w:t>Go-to-market strategy and a 24-month roadmap.</w:t>
      </w:r>
    </w:p>
    <w:p>
      <w:pPr>
        <w:pStyle w:val="ListBullet"/>
      </w:pPr>
      <w:r>
        <w:t>Fundraising preparation: financing plan, investor targeting, investor Q&amp;A and data-room preparation.</w:t>
      </w:r>
    </w:p>
    <w:p>
      <w:pPr/>
      <w:r>
        <w:rPr>
          <w:b/>
        </w:rPr>
        <w:t>Fundraising boundary.</w:t>
      </w:r>
      <w:r>
        <w:t xml:space="preserve"> This fifth component measures preparation for fundraising. It does not measure capital raised or a completed investment round. The milestone report identifies investor meetings as a next step. Similarly, the interview count is not a count of paying customers, signed pilots or purchase commitments.</w:t>
      </w:r>
    </w:p>
    <w:p>
      <w:pPr/>
      <w:r>
        <w:rPr>
          <w:b/>
        </w:rPr>
        <w:t>Evidence boundary.</w:t>
      </w:r>
      <w:r>
        <w:t xml:space="preserve"> The confidential D1 business materials are referenced in the milestone report's sections 2.1 (D1 deliverable) and 2.2 (KPI 1). This public annex records the project's </w:t>
      </w:r>
      <w:r>
        <w:rPr>
          <w:b/>
        </w:rPr>
        <w:t>reported completion</w:t>
      </w:r>
      <w:r>
        <w:t>; it does not independently audit those materials or establish external FIERCE acceptance. Private links, interview reports and commercial documents are not reproduced here. Their absence from the public repository is not a result of zero interviews or zero delivered service components.</w:t>
      </w:r>
    </w:p>
    <w:p>
      <w:pPr>
        <w:pStyle w:val="Heading1"/>
      </w:pPr>
      <w:r>
        <w:t>4. KPI 2 / D2 — The five scientific and software work packages</w:t>
      </w:r>
    </w:p>
    <w:p>
      <w:pPr>
        <w:pStyle w:val="Heading2"/>
      </w:pPr>
      <w:r>
        <w:t>WP0 — Compare so4gp with another library on Copernicus data</w:t>
      </w:r>
    </w:p>
    <w:p>
      <w:r>
        <w:t xml:space="preserve">The adopted comparison runs </w:t>
      </w:r>
      <w:r>
        <w:rPr>
          <w:b/>
        </w:rPr>
        <w:t>GRAANK from so4gp 1.1.2 and Apriori from mlxtend 0.25.0</w:t>
      </w:r>
      <w:r>
        <w:t xml:space="preserve"> on the same three ERA5/NDVI datasets, with seven variables. All six CPU jobs finish within their 60-second limits. </w:t>
      </w:r>
      <w:r>
        <w:rPr>
          <w:b/>
        </w:rPr>
        <w:t>20 native identities are present among 91 reference identities; all 71 differences are explained, and support values agree for every shared identity.</w:t>
      </w:r>
      <w:r>
        <w:t xml:space="preserve"> An independent Linux reproduction recovers the same identities, supports and classifications.</w:t>
      </w:r>
    </w:p>
    <w:p>
      <w:r/>
      <w:r>
        <w:rPr>
          <w:b/>
        </w:rPr>
        <w:t>Evidence:</w:t>
      </w:r>
      <w:r>
        <w:t xml:space="preserve"> </w:t>
      </w:r>
      <w:hyperlink r:id="rId12">
        <w:r>
          <w:rPr>
            <w:color w:val="0563C1"/>
            <w:u w:val="single"/>
          </w:rPr>
          <w:t>results, artifacts and reproduction</w:t>
        </w:r>
      </w:hyperlink>
      <w:r>
        <w:t xml:space="preserve">, </w:t>
      </w:r>
      <w:hyperlink r:id="rId13">
        <w:r>
          <w:rPr>
            <w:color w:val="0563C1"/>
            <w:u w:val="single"/>
          </w:rPr>
          <w:t>O1/#19 acceptance</w:t>
        </w:r>
      </w:hyperlink>
      <w:r>
        <w:t>.</w:t>
      </w:r>
    </w:p>
    <w:p>
      <w:r/>
      <w:r>
        <w:rPr>
          <w:b/>
        </w:rPr>
        <w:t>What this establishes:</w:t>
      </w:r>
      <w:r>
        <w:t xml:space="preserve"> a real-data comparison that can be checked and reproduced. It does not establish general superiority, a speed ranking or NDVI forecasting skill.</w:t>
      </w:r>
    </w:p>
    <w:p>
      <w:pPr>
        <w:pStyle w:val="Heading2"/>
      </w:pPr>
      <w:r>
        <w:t>WP1 — Extract patterns and integrate them into DEPOSIUM</w:t>
      </w:r>
    </w:p>
    <w:p>
      <w:r>
        <w:t xml:space="preserve">The native pipeline produces JSON/Parquet libraries that GeoAI tools can consume. The 1.1.2 capture across the three pilots contains </w:t>
      </w:r>
      <w:r>
        <w:rPr>
          <w:b/>
        </w:rPr>
        <w:t>23 GRAANK records and 395 TGrad records, for a total of 418 records</w:t>
      </w:r>
      <w:r>
        <w:t>, distributed across six libraries. The consumer reads them and refuses to draw conclusions when they are unqualified.</w:t>
      </w:r>
    </w:p>
    <w:p>
      <w:r/>
      <w:r>
        <w:rPr>
          <w:b/>
        </w:rPr>
        <w:t>Evidence:</w:t>
      </w:r>
      <w:r>
        <w:t xml:space="preserve"> </w:t>
      </w:r>
      <w:hyperlink r:id="rId14">
        <w:r>
          <w:rPr>
            <w:color w:val="0563C1"/>
            <w:u w:val="single"/>
          </w:rPr>
          <w:t>native package, inputs and consumer checks</w:t>
        </w:r>
      </w:hyperlink>
      <w:r>
        <w:t xml:space="preserve">, </w:t>
      </w:r>
      <w:hyperlink r:id="rId15">
        <w:r>
          <w:rPr>
            <w:color w:val="0563C1"/>
            <w:u w:val="single"/>
          </w:rPr>
          <w:t>tools and integration</w:t>
        </w:r>
      </w:hyperlink>
      <w:r>
        <w:t>.</w:t>
      </w:r>
    </w:p>
    <w:p>
      <w:r/>
      <w:r>
        <w:rPr>
          <w:b/>
        </w:rPr>
        <w:t>Limitation:</w:t>
      </w:r>
      <w:r>
        <w:t xml:space="preserve"> all 418 records remain unqualified. Their availability and the explicit refusal to draw unsupported conclusions demonstrate integration, not positive predictive validation. These deliveries document the correspondence to WP1 without inventing a separate WP1 acceptance.</w:t>
      </w:r>
    </w:p>
    <w:p>
      <w:pPr>
        <w:pStyle w:val="Heading2"/>
      </w:pPr>
      <w:r>
        <w:t>WP2 — Evaluate robustness, stability and confidence</w:t>
      </w:r>
    </w:p>
    <w:p>
      <w:r>
        <w:t xml:space="preserve">The study uses five groups of zones and a temporal split of the data. At the original thresholds of </w:t>
      </w:r>
      <w:r>
        <w:rPr>
          <w:b/>
        </w:rPr>
        <w:t>support ≥0.50 and conditional confidence ≥0.70</w:t>
      </w:r>
      <w:r>
        <w:t xml:space="preserve">, </w:t>
      </w:r>
      <w:r>
        <w:rPr>
          <w:b/>
        </w:rPr>
        <w:t>0/10 spatial candidates</w:t>
      </w:r>
      <w:r>
        <w:t xml:space="preserve"> pass at least four of the five folds, and </w:t>
      </w:r>
      <w:r>
        <w:rPr>
          <w:b/>
        </w:rPr>
        <w:t>6/52 temporal rules</w:t>
      </w:r>
      <w:r>
        <w:t xml:space="preserve"> pass the temporal check. These six successes correspond to three inverse pairs and fail locally at Fos. The negative results form part of the scientific deliverable.</w:t>
      </w:r>
    </w:p>
    <w:p>
      <w:r>
        <w:t xml:space="preserve">Nicolas/Deposium expressly adopted </w:t>
      </w:r>
      <w:r>
        <w:rPr>
          <w:b/>
        </w:rPr>
        <w:t>five groups accounting for overlaps across 14 zones</w:t>
      </w:r>
      <w:r>
        <w:t>, training on four groups and evaluating the fifth, as the correspondence to the original criterion expressed in terms of individual zones. This method and its acceptance remain distinct from passing the tests.</w:t>
      </w:r>
    </w:p>
    <w:p>
      <w:r>
        <w:t xml:space="preserve">The accepted historical O2 catalogue contains </w:t>
      </w:r>
      <w:r>
        <w:rPr>
          <w:b/>
        </w:rPr>
        <w:t>179 original Q3 records</w:t>
      </w:r>
      <w:r>
        <w:t xml:space="preserve">, including </w:t>
      </w:r>
      <w:r>
        <w:rPr>
          <w:b/>
        </w:rPr>
        <w:t>164 containing NDVI</w:t>
      </w:r>
      <w:r>
        <w:t xml:space="preserve"> and 15 climate-only itemsets. It preserves supports, dates, recurrence metadata and missing confidence values. This catalogue is distinct from the newer capture of 418 records.</w:t>
      </w:r>
    </w:p>
    <w:p>
      <w:r/>
      <w:r>
        <w:rPr>
          <w:b/>
        </w:rPr>
        <w:t>Evidence:</w:t>
      </w:r>
      <w:r>
        <w:t xml:space="preserve"> </w:t>
      </w:r>
      <w:hyperlink r:id="rId16">
        <w:r>
          <w:rPr>
            <w:color w:val="0563C1"/>
            <w:u w:val="single"/>
          </w:rPr>
          <w:t>held-out evaluation report</w:t>
        </w:r>
      </w:hyperlink>
      <w:r>
        <w:t xml:space="preserve">, </w:t>
      </w:r>
      <w:hyperlink r:id="rId17">
        <w:r>
          <w:rPr>
            <w:color w:val="0563C1"/>
            <w:u w:val="single"/>
          </w:rPr>
          <w:t>catalogue and adopted scope correspondence</w:t>
        </w:r>
      </w:hyperlink>
      <w:r>
        <w:t xml:space="preserve">, </w:t>
      </w:r>
      <w:hyperlink r:id="rId18">
        <w:r>
          <w:rPr>
            <w:color w:val="0563C1"/>
            <w:u w:val="single"/>
          </w:rPr>
          <w:t>O2 acceptance</w:t>
        </w:r>
      </w:hyperlink>
      <w:r>
        <w:t xml:space="preserve">, </w:t>
      </w:r>
      <w:hyperlink r:id="rId19">
        <w:r>
          <w:rPr>
            <w:color w:val="0563C1"/>
            <w:u w:val="single"/>
          </w:rPr>
          <w:t>O3 acceptance</w:t>
        </w:r>
      </w:hyperlink>
      <w:r>
        <w:t>.</w:t>
      </w:r>
    </w:p>
    <w:p>
      <w:r/>
      <w:r>
        <w:rPr>
          <w:b/>
        </w:rPr>
        <w:t>Key limitation:</w:t>
      </w:r>
      <w:r>
        <w:t xml:space="preserve"> the evaluation and catalogue were accepted within an adapted scope. The original expectation of a positively validated library with confidence remains unmet; unknown fields are not replaced with a score for presentation purposes.</w:t>
      </w:r>
    </w:p>
    <w:p>
      <w:pPr>
        <w:pStyle w:val="Heading2"/>
      </w:pPr>
      <w:r>
        <w:t>WP3 — Add temporal and spatial dimensions</w:t>
      </w:r>
    </w:p>
    <w:p>
      <w:r>
        <w:t xml:space="preserve">The Q3 run across </w:t>
      </w:r>
      <w:r>
        <w:rPr>
          <w:b/>
        </w:rPr>
        <w:t>14 eligible zones</w:t>
      </w:r>
      <w:r>
        <w:t xml:space="preserve"> produced </w:t>
      </w:r>
      <w:r>
        <w:rPr>
          <w:b/>
        </w:rPr>
        <w:t>30 GRAANK and 149 TGrad records</w:t>
      </w:r>
      <w:r>
        <w:t>, with lags, supports and recurrence metadata. The ability to extract lagged patterns and its integration were accepted under O4.</w:t>
      </w:r>
    </w:p>
    <w:p>
      <w:r/>
      <w:r>
        <w:rPr>
          <w:b/>
        </w:rPr>
        <w:t>Evidence:</w:t>
      </w:r>
      <w:r>
        <w:t xml:space="preserve"> </w:t>
      </w:r>
      <w:hyperlink r:id="rId20">
        <w:r>
          <w:rPr>
            <w:color w:val="0563C1"/>
            <w:u w:val="single"/>
          </w:rPr>
          <w:t>Q3 execution and results</w:t>
        </w:r>
      </w:hyperlink>
      <w:r>
        <w:t xml:space="preserve">, </w:t>
      </w:r>
      <w:hyperlink r:id="rId21">
        <w:r>
          <w:rPr>
            <w:color w:val="0563C1"/>
            <w:u w:val="single"/>
          </w:rPr>
          <w:t>O4/#22 acceptance</w:t>
        </w:r>
      </w:hyperlink>
      <w:r>
        <w:t>.</w:t>
      </w:r>
    </w:p>
    <w:p>
      <w:r/>
      <w:r>
        <w:rPr>
          <w:b/>
        </w:rPr>
        <w:t>Limitation:</w:t>
      </w:r>
      <w:r>
        <w:t xml:space="preserve"> cross-zone recurrence and a native lag measure neither causality nor the accuracy of an independent forecast at that number of days.</w:t>
      </w:r>
    </w:p>
    <w:p>
      <w:pPr>
        <w:pStyle w:val="Heading2"/>
      </w:pPr>
      <w:r>
        <w:t>WP4 — Deliver an installable, callable tool</w:t>
      </w:r>
    </w:p>
    <w:p>
      <w:r>
        <w:t xml:space="preserve">The historical O5 acceptance records an MCP interface, API documentation, serialization, the </w:t>
      </w:r>
      <w:r>
        <w:rPr>
          <w:rFonts w:ascii="Consolas" w:hAnsi="Consolas"/>
        </w:rPr>
        <w:t>fierce1-mining</w:t>
      </w:r>
      <w:r>
        <w:t xml:space="preserve"> CLI and tag </w:t>
      </w:r>
      <w:r>
        <w:rPr>
          <w:b/>
        </w:rPr>
        <w:t>v0.1.0</w:t>
      </w:r>
      <w:r>
        <w:t xml:space="preserve">. These are historical acceptance references, not a newly published release tag or the current standalone GeoAI entry point. The current public </w:t>
      </w:r>
      <w:hyperlink r:id="rId22">
        <w:r>
          <w:rPr>
            <w:color w:val="0563C1"/>
            <w:u w:val="single"/>
          </w:rPr>
          <w:t>package entry points</w:t>
        </w:r>
      </w:hyperlink>
      <w:r>
        <w:t xml:space="preserve"> provide </w:t>
      </w:r>
      <w:r>
        <w:rPr>
          <w:rFonts w:ascii="Consolas" w:hAnsi="Consolas"/>
        </w:rPr>
        <w:t>geoai-server</w:t>
      </w:r>
      <w:r>
        <w:t xml:space="preserve"> and forecast CLIs; they do not declare </w:t>
      </w:r>
      <w:r>
        <w:rPr>
          <w:rFonts w:ascii="Consolas" w:hAnsi="Consolas"/>
        </w:rPr>
        <w:t>fierce1-mining</w:t>
      </w:r>
      <w:r>
        <w:t>. The so4gp 1.1.2 profile and its CPU qualification are later, traceable work.</w:t>
      </w:r>
    </w:p>
    <w:p>
      <w:r/>
      <w:r>
        <w:rPr>
          <w:b/>
        </w:rPr>
        <w:t>Evidence:</w:t>
      </w:r>
      <w:r>
        <w:t xml:space="preserve"> </w:t>
      </w:r>
      <w:hyperlink r:id="rId11">
        <w:r>
          <w:rPr>
            <w:color w:val="0563C1"/>
            <w:u w:val="single"/>
          </w:rPr>
          <w:t>packaging and O5 acceptance</w:t>
        </w:r>
      </w:hyperlink>
      <w:r>
        <w:t xml:space="preserve">, </w:t>
      </w:r>
      <w:hyperlink r:id="rId23">
        <w:r>
          <w:rPr>
            <w:color w:val="0563C1"/>
            <w:u w:val="single"/>
          </w:rPr>
          <w:t>decision #23</w:t>
        </w:r>
      </w:hyperlink>
      <w:r>
        <w:t xml:space="preserve">, </w:t>
      </w:r>
      <w:hyperlink r:id="rId24">
        <w:r>
          <w:rPr>
            <w:color w:val="0563C1"/>
            <w:u w:val="single"/>
          </w:rPr>
          <w:t>source-inclusion trace for the 22 upstream modules</w:t>
        </w:r>
      </w:hyperlink>
      <w:r>
        <w:t>.</w:t>
      </w:r>
    </w:p>
    <w:p>
      <w:pPr>
        <w:pStyle w:val="Heading2"/>
      </w:pPr>
      <w:r>
        <w:t>Predictive result to retain in the assessment</w:t>
      </w:r>
    </w:p>
    <w:p>
      <w:r>
        <w:t xml:space="preserve">A dedicated experiment tested the contribution of native interactions to an NDVI prediction recipe. On the primary criterion at Fos, MAE increases from </w:t>
      </w:r>
      <w:r>
        <w:rPr>
          <w:b/>
        </w:rPr>
        <w:t>0.02263 to 0.02354</w:t>
      </w:r>
      <w:r>
        <w:t xml:space="preserve">, or approximately </w:t>
      </w:r>
      <w:r>
        <w:rPr>
          <w:b/>
        </w:rPr>
        <w:t>4% more error</w:t>
      </w:r>
      <w:r>
        <w:t>; persistence achieves 0.02237. This recipe therefore demonstrates no gain on the primary criterion. It tests neither a labelled stress alert nor a calibrated probability.</w:t>
      </w:r>
    </w:p>
    <w:p>
      <w:r/>
      <w:r>
        <w:rPr>
          <w:b/>
        </w:rPr>
        <w:t>Evidence:</w:t>
      </w:r>
      <w:r>
        <w:t xml:space="preserve"> </w:t>
      </w:r>
      <w:hyperlink r:id="rId25">
        <w:r>
          <w:rPr>
            <w:color w:val="0563C1"/>
            <w:u w:val="single"/>
          </w:rPr>
          <w:t>ablation protocol, results and limitations</w:t>
        </w:r>
      </w:hyperlink>
      <w:r>
        <w:t>. River benchmarks provide separate supplementary evidence; they do not automatically qualify the climate/NDVI rules.</w:t>
      </w:r>
    </w:p>
    <w:p>
      <w:pPr>
        <w:pStyle w:val="Heading1"/>
      </w:pPr>
      <w:r>
        <w:t>5. KPI 3 / D3 — The six geospatial pipeline modules</w:t>
      </w:r>
    </w:p>
    <w:tbl>
      <w:tblPr>
        <w:tblStyle w:val="LightShading-Accent1"/>
        <w:tblW w:type="auto" w:w="0"/>
        <w:tblLook w:firstColumn="1" w:firstRow="1" w:lastColumn="0" w:lastRow="0" w:noHBand="0" w:noVBand="1" w:val="04A0"/>
      </w:tblPr>
      <w:tblGrid>
        <w:gridCol w:w="3345"/>
        <w:gridCol w:w="3345"/>
        <w:gridCol w:w="3345"/>
      </w:tblGrid>
      <w:tr>
        <w:trPr>
          <w:tblHeader/>
        </w:trPr>
        <w:tc>
          <w:tcPr>
            <w:tcW w:type="dxa" w:w="3345"/>
          </w:tcPr>
          <w:p>
            <w:r>
              <w:rPr>
                <w:sz w:val="18"/>
              </w:rPr>
              <w:t>Module in the plan</w:t>
            </w:r>
          </w:p>
        </w:tc>
        <w:tc>
          <w:tcPr>
            <w:tcW w:type="dxa" w:w="3345"/>
          </w:tcPr>
          <w:p>
            <w:r>
              <w:rPr>
                <w:sz w:val="18"/>
              </w:rPr>
              <w:t>Verifiable implementation</w:t>
            </w:r>
          </w:p>
        </w:tc>
        <w:tc>
          <w:tcPr>
            <w:tcW w:type="dxa" w:w="3345"/>
          </w:tcPr>
          <w:p>
            <w:r>
              <w:rPr>
                <w:sz w:val="18"/>
              </w:rPr>
              <w:t>Main evidence</w:t>
            </w:r>
          </w:p>
        </w:tc>
      </w:tr>
      <w:tr>
        <w:tc>
          <w:tcPr>
            <w:tcW w:type="dxa" w:w="3345"/>
          </w:tcPr>
          <w:p>
            <w:r>
              <w:rPr>
                <w:sz w:val="18"/>
              </w:rPr>
            </w:r>
            <w:r>
              <w:rPr>
                <w:b/>
                <w:sz w:val="18"/>
              </w:rPr>
              <w:t>B1 — Zones</w:t>
            </w:r>
            <w:r>
              <w:rPr>
                <w:sz w:val="18"/>
              </w:rPr>
            </w:r>
          </w:p>
        </w:tc>
        <w:tc>
          <w:tcPr>
            <w:tcW w:type="dxa" w:w="3345"/>
          </w:tcPr>
          <w:p>
            <w:r>
              <w:rPr>
                <w:sz w:val="18"/>
              </w:rPr>
              <w:t>15 zones: a panel of 12 and three French pilots. WGS84 geometries; identified administrative and hydrological boundaries for the pilots.</w:t>
            </w:r>
          </w:p>
        </w:tc>
        <w:tc>
          <w:tcPr>
            <w:tcW w:type="dxa" w:w="3345"/>
          </w:tcPr>
          <w:p>
            <w:r>
              <w:rPr>
                <w:sz w:val="18"/>
              </w:rPr>
            </w:r>
            <w:hyperlink r:id="rId11">
              <w:r>
                <w:rPr>
                  <w:color w:val="0563C1"/>
                  <w:u w:val="single"/>
                </w:rPr>
                <w:t>B1 generation and acceptance</w:t>
              </w:r>
            </w:hyperlink>
            <w:r>
              <w:rPr>
                <w:sz w:val="18"/>
              </w:rPr>
              <w:t>.</w:t>
            </w:r>
          </w:p>
        </w:tc>
      </w:tr>
      <w:tr>
        <w:tc>
          <w:tcPr>
            <w:tcW w:type="dxa" w:w="3345"/>
          </w:tcPr>
          <w:p>
            <w:r>
              <w:rPr>
                <w:sz w:val="18"/>
              </w:rPr>
            </w:r>
            <w:r>
              <w:rPr>
                <w:b/>
                <w:sz w:val="18"/>
              </w:rPr>
              <w:t>B2 — ERA5</w:t>
            </w:r>
            <w:r>
              <w:rPr>
                <w:sz w:val="18"/>
              </w:rPr>
            </w:r>
          </w:p>
        </w:tc>
        <w:tc>
          <w:tcPr>
            <w:tcW w:type="dxa" w:w="3345"/>
          </w:tcPr>
          <w:p>
            <w:r>
              <w:rPr>
                <w:sz w:val="18"/>
              </w:rPr>
              <w:t xml:space="preserve">Six variables, 15 zones, </w:t>
            </w:r>
            <w:r>
              <w:rPr>
                <w:b/>
                <w:sz w:val="18"/>
              </w:rPr>
              <w:t>1991–2020: 30 years</w:t>
            </w:r>
            <w:r>
              <w:rPr>
                <w:sz w:val="18"/>
              </w:rPr>
              <w:t xml:space="preserve">, 10,958 days per zone, </w:t>
            </w:r>
            <w:r>
              <w:rPr>
                <w:b/>
                <w:sz w:val="18"/>
              </w:rPr>
              <w:t>100% observed completeness</w:t>
            </w:r>
            <w:r>
              <w:rPr>
                <w:sz w:val="18"/>
              </w:rPr>
              <w:t>, and 72 monthly normals per zone. GeoParquet in S3-compatible storage.</w:t>
            </w:r>
          </w:p>
        </w:tc>
        <w:tc>
          <w:tcPr>
            <w:tcW w:type="dxa" w:w="3345"/>
          </w:tcPr>
          <w:p>
            <w:r>
              <w:rPr>
                <w:sz w:val="18"/>
              </w:rPr>
            </w:r>
            <w:hyperlink r:id="rId26">
              <w:r>
                <w:rPr>
                  <w:color w:val="0563C1"/>
                  <w:u w:val="single"/>
                </w:rPr>
                <w:t>Full-panel run and per-zone table</w:t>
              </w:r>
            </w:hyperlink>
            <w:r>
              <w:rPr>
                <w:sz w:val="18"/>
              </w:rPr>
              <w:t xml:space="preserve">, </w:t>
            </w:r>
            <w:hyperlink r:id="rId27">
              <w:r>
                <w:rPr>
                  <w:color w:val="0563C1"/>
                  <w:u w:val="single"/>
                </w:rPr>
                <w:t>RustFS materialization</w:t>
              </w:r>
            </w:hyperlink>
            <w:r>
              <w:rPr>
                <w:sz w:val="18"/>
              </w:rPr>
              <w:t>.</w:t>
            </w:r>
          </w:p>
        </w:tc>
      </w:tr>
      <w:tr>
        <w:tc>
          <w:tcPr>
            <w:tcW w:type="dxa" w:w="3345"/>
          </w:tcPr>
          <w:p>
            <w:r>
              <w:rPr>
                <w:sz w:val="18"/>
              </w:rPr>
            </w:r>
            <w:r>
              <w:rPr>
                <w:b/>
                <w:sz w:val="18"/>
              </w:rPr>
              <w:t>B3 — NDVI</w:t>
            </w:r>
            <w:r>
              <w:rPr>
                <w:sz w:val="18"/>
              </w:rPr>
            </w:r>
          </w:p>
        </w:tc>
        <w:tc>
          <w:tcPr>
            <w:tcW w:type="dxa" w:w="3345"/>
          </w:tcPr>
          <w:p>
            <w:r>
              <w:rPr>
                <w:sz w:val="18"/>
              </w:rPr>
              <w:t xml:space="preserve">Sentinel-2 STAC/COG streaming and zonal statistics, without archiving COGs. Available series from November 2016 to December 2024: </w:t>
            </w:r>
            <w:r>
              <w:rPr>
                <w:b/>
                <w:sz w:val="18"/>
              </w:rPr>
              <w:t>81 Montpellier, 81 Lez, 92 Fos</w:t>
            </w:r>
            <w:r>
              <w:rPr>
                <w:sz w:val="18"/>
              </w:rPr>
              <w:t>, for a total of 254 observations.</w:t>
            </w:r>
          </w:p>
        </w:tc>
        <w:tc>
          <w:tcPr>
            <w:tcW w:type="dxa" w:w="3345"/>
          </w:tcPr>
          <w:p>
            <w:r>
              <w:rPr>
                <w:sz w:val="18"/>
              </w:rPr>
            </w:r>
            <w:hyperlink r:id="rId28">
              <w:r>
                <w:rPr>
                  <w:color w:val="0563C1"/>
                  <w:u w:val="single"/>
                </w:rPr>
                <w:t>Shipped-code evidence, manifests and coverage</w:t>
              </w:r>
            </w:hyperlink>
            <w:r>
              <w:rPr>
                <w:sz w:val="18"/>
              </w:rPr>
              <w:t xml:space="preserve">, </w:t>
            </w:r>
            <w:hyperlink r:id="rId11">
              <w:r>
                <w:rPr>
                  <w:color w:val="0563C1"/>
                  <w:u w:val="single"/>
                </w:rPr>
                <w:t>B3 acceptance</w:t>
              </w:r>
            </w:hyperlink>
            <w:r>
              <w:rPr>
                <w:sz w:val="18"/>
              </w:rPr>
              <w:t>.</w:t>
            </w:r>
          </w:p>
        </w:tc>
      </w:tr>
      <w:tr>
        <w:tc>
          <w:tcPr>
            <w:tcW w:type="dxa" w:w="3345"/>
          </w:tcPr>
          <w:p>
            <w:r>
              <w:rPr>
                <w:sz w:val="18"/>
              </w:rPr>
            </w:r>
            <w:r>
              <w:rPr>
                <w:b/>
                <w:sz w:val="18"/>
              </w:rPr>
              <w:t>B4 — Unified data</w:t>
            </w:r>
            <w:r>
              <w:rPr>
                <w:sz w:val="18"/>
              </w:rPr>
            </w:r>
          </w:p>
        </w:tc>
        <w:tc>
          <w:tcPr>
            <w:tcW w:type="dxa" w:w="3345"/>
          </w:tcPr>
          <w:p>
            <w:r>
              <w:rPr>
                <w:sz w:val="18"/>
              </w:rPr>
              <w:t xml:space="preserve">ERA5/NDVI join usable in DuckDB/GeoParquet; a historical package with </w:t>
            </w:r>
            <w:r>
              <w:rPr>
                <w:b/>
                <w:sz w:val="18"/>
              </w:rPr>
              <w:t>130 rows: 41 Lez, 48 Fos, 41 Montpellier</w:t>
            </w:r>
            <w:r>
              <w:rPr>
                <w:sz w:val="18"/>
              </w:rPr>
              <w:t>. Dates and gaps are preserved.</w:t>
            </w:r>
          </w:p>
        </w:tc>
        <w:tc>
          <w:tcPr>
            <w:tcW w:type="dxa" w:w="3345"/>
          </w:tcPr>
          <w:p>
            <w:r>
              <w:rPr>
                <w:sz w:val="18"/>
              </w:rPr>
            </w:r>
            <w:hyperlink r:id="rId29">
              <w:r>
                <w:rPr>
                  <w:color w:val="0563C1"/>
                  <w:u w:val="single"/>
                </w:rPr>
                <w:t>Materialization and matching</w:t>
              </w:r>
            </w:hyperlink>
            <w:r>
              <w:rPr>
                <w:sz w:val="18"/>
              </w:rPr>
              <w:t xml:space="preserve">, </w:t>
            </w:r>
            <w:hyperlink r:id="rId30">
              <w:r>
                <w:rPr>
                  <w:color w:val="0563C1"/>
                  <w:u w:val="single"/>
                </w:rPr>
                <w:t>conversational qualification</w:t>
              </w:r>
            </w:hyperlink>
            <w:r>
              <w:rPr>
                <w:sz w:val="18"/>
              </w:rPr>
              <w:t>.</w:t>
            </w:r>
          </w:p>
        </w:tc>
      </w:tr>
      <w:tr>
        <w:tc>
          <w:tcPr>
            <w:tcW w:type="dxa" w:w="3345"/>
          </w:tcPr>
          <w:p>
            <w:r>
              <w:rPr>
                <w:sz w:val="18"/>
              </w:rPr>
            </w:r>
            <w:r>
              <w:rPr>
                <w:b/>
                <w:sz w:val="18"/>
              </w:rPr>
              <w:t>B5 — Forecasts and fallback</w:t>
            </w:r>
            <w:r>
              <w:rPr>
                <w:sz w:val="18"/>
              </w:rPr>
            </w:r>
          </w:p>
        </w:tc>
        <w:tc>
          <w:tcPr>
            <w:tcW w:type="dxa" w:w="3345"/>
          </w:tcPr>
          <w:p>
            <w:r>
              <w:rPr>
                <w:sz w:val="18"/>
              </w:rPr>
              <w:t xml:space="preserve">AIFS primary through Open-Meteo, with physical-model fallback. GFS/AIFS archive and matrices: </w:t>
            </w:r>
            <w:r>
              <w:rPr>
                <w:b/>
                <w:sz w:val="18"/>
              </w:rPr>
              <w:t>86,040 pairs per identity</w:t>
            </w:r>
            <w:r>
              <w:rPr>
                <w:sz w:val="18"/>
              </w:rPr>
              <w:t>, 15 zones, 239 dates, six variables and day-1/day-3/day-5/day-7 horizons; no missing or excluded pairs.</w:t>
            </w:r>
          </w:p>
        </w:tc>
        <w:tc>
          <w:tcPr>
            <w:tcW w:type="dxa" w:w="3345"/>
          </w:tcPr>
          <w:p>
            <w:r>
              <w:rPr>
                <w:sz w:val="18"/>
              </w:rPr>
            </w:r>
            <w:hyperlink r:id="rId31">
              <w:r>
                <w:rPr>
                  <w:color w:val="0563C1"/>
                  <w:u w:val="single"/>
                </w:rPr>
                <w:t>Collection and independent reproduction</w:t>
              </w:r>
            </w:hyperlink>
            <w:r>
              <w:rPr>
                <w:sz w:val="18"/>
              </w:rPr>
              <w:t xml:space="preserve">, </w:t>
            </w:r>
            <w:hyperlink r:id="rId32">
              <w:r>
                <w:rPr>
                  <w:color w:val="0563C1"/>
                  <w:u w:val="single"/>
                </w:rPr>
                <w:t>#193 acceptance</w:t>
              </w:r>
            </w:hyperlink>
            <w:r>
              <w:rPr>
                <w:sz w:val="18"/>
              </w:rPr>
              <w:t>.</w:t>
            </w:r>
          </w:p>
        </w:tc>
      </w:tr>
      <w:tr>
        <w:tc>
          <w:tcPr>
            <w:tcW w:type="dxa" w:w="3345"/>
          </w:tcPr>
          <w:p>
            <w:r>
              <w:rPr>
                <w:sz w:val="18"/>
              </w:rPr>
            </w:r>
            <w:r>
              <w:rPr>
                <w:b/>
                <w:sz w:val="18"/>
              </w:rPr>
              <w:t>B6 — Two levels of analysis</w:t>
            </w:r>
            <w:r>
              <w:rPr>
                <w:sz w:val="18"/>
              </w:rPr>
            </w:r>
          </w:p>
        </w:tc>
        <w:tc>
          <w:tcPr>
            <w:tcW w:type="dxa" w:w="3345"/>
          </w:tcPr>
          <w:p>
            <w:r>
              <w:rPr>
                <w:sz w:val="18"/>
              </w:rPr>
              <w:t xml:space="preserve">Level 1: thresholds/percentiles. Level 2: a traced explanatory index. Historical Fos case: </w:t>
            </w:r>
            <w:r>
              <w:rPr>
                <w:b/>
                <w:sz w:val="18"/>
              </w:rPr>
              <w:t>149 patterns examined, 147 excluded, 2 eligible</w:t>
            </w:r>
            <w:r>
              <w:rPr>
                <w:sz w:val="18"/>
              </w:rPr>
              <w:t>; displayed response and verified canonical persistence.</w:t>
            </w:r>
          </w:p>
        </w:tc>
        <w:tc>
          <w:tcPr>
            <w:tcW w:type="dxa" w:w="3345"/>
          </w:tcPr>
          <w:p>
            <w:r>
              <w:rPr>
                <w:sz w:val="18"/>
              </w:rPr>
            </w:r>
            <w:hyperlink r:id="rId33">
              <w:r>
                <w:rPr>
                  <w:color w:val="0563C1"/>
                  <w:u w:val="single"/>
                </w:rPr>
                <w:t>B6 acceptance, values and protected reads</w:t>
              </w:r>
            </w:hyperlink>
            <w:r>
              <w:rPr>
                <w:sz w:val="18"/>
              </w:rPr>
              <w:t xml:space="preserve">, </w:t>
            </w:r>
            <w:hyperlink r:id="rId34">
              <w:r>
                <w:rPr>
                  <w:color w:val="0563C1"/>
                  <w:u w:val="single"/>
                </w:rPr>
                <w:t>#30 acceptance</w:t>
              </w:r>
            </w:hyperlink>
            <w:r>
              <w:rPr>
                <w:sz w:val="18"/>
              </w:rPr>
              <w:t>.</w:t>
            </w:r>
          </w:p>
        </w:tc>
      </w:tr>
    </w:tbl>
    <w:p>
      <w:pPr>
        <w:pStyle w:val="Heading2"/>
      </w:pPr>
      <w:r>
        <w:t>Scope correspondences to explain against the original plan</w:t>
      </w:r>
    </w:p>
    <w:p>
      <w:pPr>
        <w:pStyle w:val="ListBullet"/>
      </w:pPr>
      <w:r/>
      <w:r>
        <w:rPr>
          <w:b/>
        </w:rPr>
        <w:t>ERA5 period:</w:t>
      </w:r>
      <w:r>
        <w:t xml:space="preserve"> 15 years announced; 30 years delivered for the 1991–2020 reference. The recent validation period is a separate archive.</w:t>
      </w:r>
    </w:p>
    <w:p>
      <w:pPr>
        <w:pStyle w:val="ListBullet"/>
      </w:pPr>
      <w:r/>
      <w:r>
        <w:rPr>
          <w:b/>
        </w:rPr>
        <w:t>Forecast model:</w:t>
      </w:r>
      <w:r>
        <w:t xml:space="preserve"> the plan names FourCastNet/Open-Meteo; the internally accepted scope uses </w:t>
      </w:r>
      <w:r>
        <w:rPr>
          <w:b/>
        </w:rPr>
        <w:t>AIFS/physical models</w:t>
      </w:r>
      <w:r>
        <w:t>. FourCastNet remains an unavailable extension point. Do not present this substitution as a completed FourCastNet integration or as external approval already obtained.</w:t>
      </w:r>
    </w:p>
    <w:p>
      <w:pPr>
        <w:pStyle w:val="ListBullet"/>
      </w:pPr>
      <w:r/>
      <w:r>
        <w:rPr>
          <w:b/>
        </w:rPr>
        <w:t>Confidence:</w:t>
      </w:r>
      <w:r>
        <w:t xml:space="preserve"> the accepted level 2 calculates </w:t>
      </w:r>
      <w:r>
        <w:rPr>
          <w:rFonts w:ascii="Consolas" w:hAnsi="Consolas"/>
        </w:rPr>
        <w:t>support × stability × forecast agreement × lag decay</w:t>
      </w:r>
      <w:r>
        <w:t>. The indices 0.42518 and 0.41861 rank two historical associations; they do not represent probabilities of 42%. Calibrated confidence and probability remain unavailable.</w:t>
      </w:r>
    </w:p>
    <w:p>
      <w:pPr>
        <w:pStyle w:val="ListBullet"/>
      </w:pPr>
      <w:r/>
      <w:r>
        <w:rPr>
          <w:b/>
        </w:rPr>
        <w:t>Historical-case activation:</w:t>
      </w:r>
      <w:r>
        <w:t xml:space="preserve"> the states </w:t>
      </w:r>
      <w:r>
        <w:rPr>
          <w:rFonts w:ascii="Consolas" w:hAnsi="Consolas"/>
        </w:rPr>
        <w:t>scientific_adoption: pending</w:t>
      </w:r>
      <w:r>
        <w:t xml:space="preserve">, </w:t>
      </w:r>
      <w:r>
        <w:rPr>
          <w:rFonts w:ascii="Consolas" w:hAnsi="Consolas"/>
        </w:rPr>
        <w:t>ready_for_scoring: false</w:t>
      </w:r>
      <w:r>
        <w:t xml:space="preserve"> and </w:t>
      </w:r>
      <w:r>
        <w:rPr>
          <w:rFonts w:ascii="Consolas" w:hAnsi="Consolas"/>
        </w:rPr>
        <w:t>live_activation: false</w:t>
      </w:r>
      <w:r>
        <w:t xml:space="preserve"> remain unchanged. The accepted historical explanatory calculation does not activate a scientific alert in production; bulletins and user-defined thresholds have their own operational path.</w:t>
      </w:r>
    </w:p>
    <w:p>
      <w:pPr>
        <w:pStyle w:val="ListBullet"/>
      </w:pPr>
      <w:r/>
      <w:r>
        <w:rPr>
          <w:b/>
        </w:rPr>
        <w:t>Horizon:</w:t>
      </w:r>
      <w:r>
        <w:t xml:space="preserve"> forecast availability up to 15/16 days does not establish measured skill at those lead times. The cited matrices evaluate day 1/day 3/day 5/day 7.</w:t>
      </w:r>
    </w:p>
    <w:p>
      <w:pPr>
        <w:pStyle w:val="ListBullet"/>
      </w:pPr>
      <w:r/>
      <w:r>
        <w:rPr>
          <w:b/>
        </w:rPr>
        <w:t>Storage:</w:t>
      </w:r>
      <w:r>
        <w:t xml:space="preserve"> RustFS fills the S3-compatible role planned for MinIO. Access to registered artifacts depends on their installation and the permissions in each environment.</w:t>
      </w:r>
    </w:p>
    <w:p>
      <w:r>
        <w:t xml:space="preserve">The </w:t>
      </w:r>
      <w:hyperlink r:id="rId35">
        <w:r>
          <w:rPr>
            <w:color w:val="0563C1"/>
            <w:u w:val="single"/>
          </w:rPr>
          <w:t>acceptance checkpoint</w:t>
        </w:r>
      </w:hyperlink>
      <w:r>
        <w:t xml:space="preserve"> and </w:t>
      </w:r>
      <w:hyperlink r:id="rId36">
        <w:r>
          <w:rPr>
            <w:color w:val="0563C1"/>
            <w:u w:val="single"/>
          </w:rPr>
          <w:t>minimum technical scope correspondence</w:t>
        </w:r>
      </w:hyperlink>
      <w:r>
        <w:t xml:space="preserve"> document these choices. Bounded internal acceptance does not turn a stronger scientific objective into a measured result.</w:t>
      </w:r>
    </w:p>
    <w:p>
      <w:pPr>
        <w:pStyle w:val="Heading1"/>
      </w:pPr>
      <w:r>
        <w:t>6. KPI 4 — Three indicators across the three pilots</w:t>
      </w:r>
    </w:p>
    <w:p>
      <w:r>
        <w:t xml:space="preserve">The indicators jointly present in the historical package are </w:t>
      </w:r>
      <w:r>
        <w:rPr>
          <w:b/>
        </w:rPr>
        <w:t>dimensionless NDVI, daily mean temperature in °C, and daily precipitation in mm</w:t>
      </w:r>
      <w:r>
        <w:t>.</w:t>
      </w:r>
    </w:p>
    <w:tbl>
      <w:tblPr>
        <w:tblStyle w:val="LightShading-Accent1"/>
        <w:tblW w:type="auto" w:w="0"/>
        <w:tblLook w:firstColumn="1" w:firstRow="1" w:lastColumn="0" w:lastRow="0" w:noHBand="0" w:noVBand="1" w:val="04A0"/>
      </w:tblPr>
      <w:tblGrid>
        <w:gridCol w:w="3345"/>
        <w:gridCol w:w="3345"/>
        <w:gridCol w:w="3345"/>
      </w:tblGrid>
      <w:tr>
        <w:trPr>
          <w:tblHeader/>
        </w:trPr>
        <w:tc>
          <w:tcPr>
            <w:tcW w:type="dxa" w:w="3345"/>
          </w:tcPr>
          <w:p>
            <w:r>
              <w:rPr>
                <w:sz w:val="18"/>
              </w:rPr>
              <w:t>Pilot</w:t>
            </w:r>
          </w:p>
        </w:tc>
        <w:tc>
          <w:tcPr>
            <w:tcW w:type="dxa" w:w="3345"/>
          </w:tcPr>
          <w:p>
            <w:r>
              <w:rPr>
                <w:sz w:val="18"/>
              </w:rPr>
              <w:t>Available joined rows</w:t>
            </w:r>
          </w:p>
        </w:tc>
        <w:tc>
          <w:tcPr>
            <w:tcW w:type="dxa" w:w="3345"/>
          </w:tcPr>
          <w:p>
            <w:r>
              <w:rPr>
                <w:sz w:val="18"/>
              </w:rPr>
              <w:t>Period actually represented</w:t>
            </w:r>
          </w:p>
        </w:tc>
      </w:tr>
      <w:tr>
        <w:tc>
          <w:tcPr>
            <w:tcW w:type="dxa" w:w="3345"/>
          </w:tcPr>
          <w:p>
            <w:r>
              <w:rPr>
                <w:sz w:val="18"/>
              </w:rPr>
              <w:t>Bassin du Lez</w:t>
            </w:r>
          </w:p>
        </w:tc>
        <w:tc>
          <w:tcPr>
            <w:tcW w:type="dxa" w:w="3345"/>
          </w:tcPr>
          <w:p>
            <w:r>
              <w:rPr>
                <w:sz w:val="18"/>
              </w:rPr>
              <w:t>41</w:t>
            </w:r>
          </w:p>
        </w:tc>
        <w:tc>
          <w:tcPr>
            <w:tcW w:type="dxa" w:w="3345"/>
          </w:tcPr>
          <w:p>
            <w:r>
              <w:rPr>
                <w:sz w:val="18"/>
              </w:rPr>
              <w:t>11 February 2021 – 27 December 2024</w:t>
            </w:r>
          </w:p>
        </w:tc>
      </w:tr>
      <w:tr>
        <w:tc>
          <w:tcPr>
            <w:tcW w:type="dxa" w:w="3345"/>
          </w:tcPr>
          <w:p>
            <w:r>
              <w:rPr>
                <w:sz w:val="18"/>
              </w:rPr>
              <w:t>Fos-sur-Mer</w:t>
            </w:r>
          </w:p>
        </w:tc>
        <w:tc>
          <w:tcPr>
            <w:tcW w:type="dxa" w:w="3345"/>
          </w:tcPr>
          <w:p>
            <w:r>
              <w:rPr>
                <w:sz w:val="18"/>
              </w:rPr>
              <w:t>48</w:t>
            </w:r>
          </w:p>
        </w:tc>
        <w:tc>
          <w:tcPr>
            <w:tcW w:type="dxa" w:w="3345"/>
          </w:tcPr>
          <w:p>
            <w:r>
              <w:rPr>
                <w:sz w:val="18"/>
              </w:rPr>
              <w:t>24 January 2021 – 29 December 2024</w:t>
            </w:r>
          </w:p>
        </w:tc>
      </w:tr>
      <w:tr>
        <w:tc>
          <w:tcPr>
            <w:tcW w:type="dxa" w:w="3345"/>
          </w:tcPr>
          <w:p>
            <w:r>
              <w:rPr>
                <w:sz w:val="18"/>
              </w:rPr>
              <w:t>Montpellier Métropole</w:t>
            </w:r>
          </w:p>
        </w:tc>
        <w:tc>
          <w:tcPr>
            <w:tcW w:type="dxa" w:w="3345"/>
          </w:tcPr>
          <w:p>
            <w:r>
              <w:rPr>
                <w:sz w:val="18"/>
              </w:rPr>
              <w:t>41</w:t>
            </w:r>
          </w:p>
        </w:tc>
        <w:tc>
          <w:tcPr>
            <w:tcW w:type="dxa" w:w="3345"/>
          </w:tcPr>
          <w:p>
            <w:r>
              <w:rPr>
                <w:sz w:val="18"/>
              </w:rPr>
              <w:t>11 February 2021 – 27 December 2024</w:t>
            </w:r>
          </w:p>
        </w:tc>
      </w:tr>
    </w:tbl>
    <w:p>
      <w:r/>
      <w:r>
        <w:rPr>
          <w:b/>
        </w:rPr>
        <w:t>Evidence of actual access:</w:t>
      </w:r>
      <w:r>
        <w:t xml:space="preserve"> </w:t>
      </w:r>
      <w:hyperlink r:id="rId30">
        <w:r>
          <w:rPr>
            <w:color w:val="0563C1"/>
            <w:u w:val="single"/>
          </w:rPr>
          <w:t>N1 qualification</w:t>
        </w:r>
      </w:hyperlink>
      <w:r>
        <w:t xml:space="preserve">. The two pages of </w:t>
      </w:r>
      <w:r>
        <w:rPr>
          <w:b/>
        </w:rPr>
        <w:t>100 then 30 rows</w:t>
      </w:r>
      <w:r>
        <w:t xml:space="preserve"> reproduce the source exactly. Signatures, permissions, identities and retained data were checked; Nicolas attested the reload and readback, corroborated by protected reads.</w:t>
      </w:r>
    </w:p>
    <w:p>
      <w:r/>
      <w:r>
        <w:rPr>
          <w:b/>
        </w:rPr>
        <w:t>Evidence of joint analysis:</w:t>
      </w:r>
      <w:r>
        <w:t xml:space="preserve"> the </w:t>
      </w:r>
      <w:hyperlink r:id="rId14">
        <w:r>
          <w:rPr>
            <w:color w:val="0563C1"/>
            <w:u w:val="single"/>
          </w:rPr>
          <w:t>library package</w:t>
        </w:r>
      </w:hyperlink>
      <w:r>
        <w:t xml:space="preserve"> mines NDVI alongside six ERA5 variables; the </w:t>
      </w:r>
      <w:hyperlink r:id="rId12">
        <w:r>
          <w:rPr>
            <w:color w:val="0563C1"/>
            <w:u w:val="single"/>
          </w:rPr>
          <w:t>reproduced WP0 comparison</w:t>
        </w:r>
      </w:hyperlink>
      <w:r>
        <w:t xml:space="preserve"> covers all three pilots. Local calculations and conversational reading each have their own evidence; combining them in a video must be identified as a separate demonstration.</w:t>
      </w:r>
    </w:p>
    <w:p>
      <w:r/>
      <w:r>
        <w:rPr>
          <w:b/>
        </w:rPr>
        <w:t>Interpretation limits:</w:t>
      </w:r>
      <w:r>
        <w:t xml:space="preserve"> spaced NDVI acquisitions, no daily interpolation, point-based ERA5 reanalysis and zonal NDVI, historical geometry differences, and the Lez/Métropole overlap. These 130 rows constitute neither three complete daily series nor continuous production monitoring. A recorded zero and a missing value remain distinct.</w:t>
      </w:r>
    </w:p>
    <w:p>
      <w:pPr>
        <w:pStyle w:val="Heading1"/>
      </w:pPr>
      <w:r>
        <w:t>7. What is delivered in DEPOSIUM</w:t>
      </w:r>
    </w:p>
    <w:tbl>
      <w:tblPr>
        <w:tblStyle w:val="LightShading-Accent1"/>
        <w:tblW w:type="auto" w:w="0"/>
        <w:tblLook w:firstColumn="1" w:firstRow="1" w:lastColumn="0" w:lastRow="0" w:noHBand="0" w:noVBand="1" w:val="04A0"/>
      </w:tblPr>
      <w:tblGrid>
        <w:gridCol w:w="3345"/>
        <w:gridCol w:w="3345"/>
        <w:gridCol w:w="3345"/>
      </w:tblGrid>
      <w:tr>
        <w:trPr>
          <w:tblHeader/>
        </w:trPr>
        <w:tc>
          <w:tcPr>
            <w:tcW w:type="dxa" w:w="3345"/>
          </w:tcPr>
          <w:p>
            <w:r>
              <w:rPr>
                <w:sz w:val="18"/>
              </w:rPr>
              <w:t>Component</w:t>
            </w:r>
          </w:p>
        </w:tc>
        <w:tc>
          <w:tcPr>
            <w:tcW w:type="dxa" w:w="3345"/>
          </w:tcPr>
          <w:p>
            <w:r>
              <w:rPr>
                <w:sz w:val="18"/>
              </w:rPr>
              <w:t>Function provided</w:t>
            </w:r>
          </w:p>
        </w:tc>
        <w:tc>
          <w:tcPr>
            <w:tcW w:type="dxa" w:w="3345"/>
          </w:tcPr>
          <w:p>
            <w:r>
              <w:rPr>
                <w:sz w:val="18"/>
              </w:rPr>
              <w:t>Evidence</w:t>
            </w:r>
          </w:p>
        </w:tc>
      </w:tr>
      <w:tr>
        <w:tc>
          <w:tcPr>
            <w:tcW w:type="dxa" w:w="3345"/>
          </w:tcPr>
          <w:p>
            <w:r>
              <w:rPr>
                <w:sz w:val="18"/>
              </w:rPr>
            </w:r>
            <w:r>
              <w:rPr>
                <w:b/>
                <w:sz w:val="18"/>
              </w:rPr>
              <w:t>GeoAI / Python</w:t>
            </w:r>
            <w:r>
              <w:rPr>
                <w:sz w:val="18"/>
              </w:rPr>
            </w:r>
          </w:p>
        </w:tc>
        <w:tc>
          <w:tcPr>
            <w:tcW w:type="dxa" w:w="3345"/>
          </w:tcPr>
          <w:p>
            <w:r>
              <w:rPr>
                <w:sz w:val="18"/>
              </w:rPr>
              <w:t xml:space="preserve">Adapts providers, processes rasters and geometries, calculates indicators/patterns and exposes typed contracts. The current registry contains </w:t>
            </w:r>
            <w:r>
              <w:rPr>
                <w:b/>
                <w:sz w:val="18"/>
              </w:rPr>
              <w:t>16 tools</w:t>
            </w:r>
            <w:r>
              <w:rPr>
                <w:sz w:val="18"/>
              </w:rPr>
              <w:t>, including the experimental solar pilot.</w:t>
            </w:r>
          </w:p>
        </w:tc>
        <w:tc>
          <w:tcPr>
            <w:tcW w:type="dxa" w:w="3345"/>
          </w:tcPr>
          <w:p>
            <w:r>
              <w:rPr>
                <w:sz w:val="18"/>
              </w:rPr>
            </w:r>
            <w:hyperlink r:id="rId15">
              <w:r>
                <w:rPr>
                  <w:color w:val="0563C1"/>
                  <w:u w:val="single"/>
                </w:rPr>
                <w:t>Tool catalogue</w:t>
              </w:r>
            </w:hyperlink>
            <w:r>
              <w:rPr>
                <w:sz w:val="18"/>
              </w:rPr>
              <w:t>.</w:t>
            </w:r>
          </w:p>
        </w:tc>
      </w:tr>
      <w:tr>
        <w:tc>
          <w:tcPr>
            <w:tcW w:type="dxa" w:w="3345"/>
          </w:tcPr>
          <w:p>
            <w:r>
              <w:rPr>
                <w:sz w:val="18"/>
              </w:rPr>
            </w:r>
            <w:r>
              <w:rPr>
                <w:b/>
                <w:sz w:val="18"/>
              </w:rPr>
              <w:t>MCPs</w:t>
            </w:r>
            <w:r>
              <w:rPr>
                <w:sz w:val="18"/>
              </w:rPr>
            </w:r>
          </w:p>
        </w:tc>
        <w:tc>
          <w:tcPr>
            <w:tcW w:type="dxa" w:w="3345"/>
          </w:tcPr>
          <w:p>
            <w:r>
              <w:rPr>
                <w:sz w:val="18"/>
              </w:rPr>
              <w:t>Connects tools to chat, enforces owner/space permissions, retains results and verifies their provenance during readback.</w:t>
            </w:r>
          </w:p>
        </w:tc>
        <w:tc>
          <w:tcPr>
            <w:tcW w:type="dxa" w:w="3345"/>
          </w:tcPr>
          <w:p>
            <w:r>
              <w:rPr>
                <w:sz w:val="18"/>
              </w:rPr>
            </w:r>
            <w:hyperlink r:id="rId37">
              <w:r>
                <w:rPr>
                  <w:color w:val="0563C1"/>
                  <w:u w:val="single"/>
                </w:rPr>
                <w:t>Integration contract</w:t>
              </w:r>
            </w:hyperlink>
            <w:r>
              <w:rPr>
                <w:sz w:val="18"/>
              </w:rPr>
              <w:t xml:space="preserve">, </w:t>
            </w:r>
            <w:hyperlink r:id="rId38">
              <w:r>
                <w:rPr>
                  <w:color w:val="0563C1"/>
                  <w:u w:val="single"/>
                </w:rPr>
                <w:t>MCPs #962</w:t>
              </w:r>
            </w:hyperlink>
            <w:r>
              <w:rPr>
                <w:sz w:val="18"/>
              </w:rPr>
              <w:t xml:space="preserve">, </w:t>
            </w:r>
            <w:hyperlink r:id="rId39">
              <w:r>
                <w:rPr>
                  <w:color w:val="0563C1"/>
                  <w:u w:val="single"/>
                </w:rPr>
                <w:t>#963</w:t>
              </w:r>
            </w:hyperlink>
            <w:r>
              <w:rPr>
                <w:sz w:val="18"/>
              </w:rPr>
              <w:t>.</w:t>
            </w:r>
          </w:p>
        </w:tc>
      </w:tr>
      <w:tr>
        <w:tc>
          <w:tcPr>
            <w:tcW w:type="dxa" w:w="3345"/>
          </w:tcPr>
          <w:p>
            <w:r>
              <w:rPr>
                <w:sz w:val="18"/>
              </w:rPr>
            </w:r>
            <w:r>
              <w:rPr>
                <w:b/>
                <w:sz w:val="18"/>
              </w:rPr>
              <w:t>Solid</w:t>
            </w:r>
            <w:r>
              <w:rPr>
                <w:sz w:val="18"/>
              </w:rPr>
            </w:r>
          </w:p>
        </w:tc>
        <w:tc>
          <w:tcPr>
            <w:tcW w:type="dxa" w:w="3345"/>
          </w:tcPr>
          <w:p>
            <w:r>
              <w:rPr>
                <w:sz w:val="18"/>
              </w:rPr>
              <w:t>Weather/NDVI forms, B6 rendering, tables and charts based on retained results, and collapsible sources and limitations.</w:t>
            </w:r>
          </w:p>
        </w:tc>
        <w:tc>
          <w:tcPr>
            <w:tcW w:type="dxa" w:w="3345"/>
          </w:tcPr>
          <w:p>
            <w:r>
              <w:rPr>
                <w:sz w:val="18"/>
              </w:rPr>
            </w:r>
            <w:hyperlink r:id="rId40">
              <w:r>
                <w:rPr>
                  <w:color w:val="0563C1"/>
                  <w:u w:val="single"/>
                </w:rPr>
                <w:t>Interface specification and evidence</w:t>
              </w:r>
            </w:hyperlink>
            <w:r>
              <w:rPr>
                <w:sz w:val="18"/>
              </w:rPr>
              <w:t xml:space="preserve">, </w:t>
            </w:r>
            <w:hyperlink r:id="rId41">
              <w:r>
                <w:rPr>
                  <w:color w:val="0563C1"/>
                  <w:u w:val="single"/>
                </w:rPr>
                <w:t>Solid #919</w:t>
              </w:r>
            </w:hyperlink>
            <w:r>
              <w:rPr>
                <w:sz w:val="18"/>
              </w:rPr>
              <w:t xml:space="preserve">, </w:t>
            </w:r>
            <w:hyperlink r:id="rId42">
              <w:r>
                <w:rPr>
                  <w:color w:val="0563C1"/>
                  <w:u w:val="single"/>
                </w:rPr>
                <w:t>#920</w:t>
              </w:r>
            </w:hyperlink>
            <w:r>
              <w:rPr>
                <w:sz w:val="18"/>
              </w:rPr>
              <w:t xml:space="preserve">, </w:t>
            </w:r>
            <w:hyperlink r:id="rId43">
              <w:r>
                <w:rPr>
                  <w:color w:val="0563C1"/>
                  <w:u w:val="single"/>
                </w:rPr>
                <w:t>#922</w:t>
              </w:r>
            </w:hyperlink>
            <w:r>
              <w:rPr>
                <w:sz w:val="18"/>
              </w:rPr>
              <w:t>.</w:t>
            </w:r>
          </w:p>
        </w:tc>
      </w:tr>
      <w:tr>
        <w:tc>
          <w:tcPr>
            <w:tcW w:type="dxa" w:w="3345"/>
          </w:tcPr>
          <w:p>
            <w:r>
              <w:rPr>
                <w:sz w:val="18"/>
              </w:rPr>
            </w:r>
            <w:r>
              <w:rPr>
                <w:b/>
                <w:sz w:val="18"/>
              </w:rPr>
              <w:t>DuckDB + GeoParquet + RustFS/S3</w:t>
            </w:r>
            <w:r>
              <w:rPr>
                <w:sz w:val="18"/>
              </w:rPr>
            </w:r>
          </w:p>
        </w:tc>
        <w:tc>
          <w:tcPr>
            <w:tcW w:type="dxa" w:w="3345"/>
          </w:tcPr>
          <w:p>
            <w:r>
              <w:rPr>
                <w:sz w:val="18"/>
              </w:rPr>
              <w:t>Store and query structured artifacts independently of model-generated text.</w:t>
            </w:r>
          </w:p>
        </w:tc>
        <w:tc>
          <w:tcPr>
            <w:tcW w:type="dxa" w:w="3345"/>
          </w:tcPr>
          <w:p>
            <w:r>
              <w:rPr>
                <w:sz w:val="18"/>
              </w:rPr>
            </w:r>
            <w:hyperlink r:id="rId44">
              <w:r>
                <w:rPr>
                  <w:color w:val="0563C1"/>
                  <w:u w:val="single"/>
                </w:rPr>
                <w:t>Storage contract</w:t>
              </w:r>
            </w:hyperlink>
            <w:r>
              <w:rPr>
                <w:sz w:val="18"/>
              </w:rPr>
              <w:t>.</w:t>
            </w:r>
          </w:p>
        </w:tc>
      </w:tr>
      <w:tr>
        <w:tc>
          <w:tcPr>
            <w:tcW w:type="dxa" w:w="3345"/>
          </w:tcPr>
          <w:p>
            <w:r>
              <w:rPr>
                <w:sz w:val="18"/>
              </w:rPr>
            </w:r>
            <w:r>
              <w:rPr>
                <w:b/>
                <w:sz w:val="18"/>
              </w:rPr>
              <w:t>Bulletins and monitoring</w:t>
            </w:r>
            <w:r>
              <w:rPr>
                <w:sz w:val="18"/>
              </w:rPr>
            </w:r>
          </w:p>
        </w:tc>
        <w:tc>
          <w:tcPr>
            <w:tcW w:type="dxa" w:w="3345"/>
          </w:tcPr>
          <w:p>
            <w:r>
              <w:rPr>
                <w:sz w:val="18"/>
              </w:rPr>
              <w:t>Daily delivery at a chosen time, threshold rules, enablement/revocation, traces and recovery; optional publication in a conversation.</w:t>
            </w:r>
          </w:p>
        </w:tc>
        <w:tc>
          <w:tcPr>
            <w:tcW w:type="dxa" w:w="3345"/>
          </w:tcPr>
          <w:p>
            <w:r>
              <w:rPr>
                <w:sz w:val="18"/>
              </w:rPr>
            </w:r>
            <w:hyperlink r:id="rId45">
              <w:r>
                <w:rPr>
                  <w:color w:val="0563C1"/>
                  <w:u w:val="single"/>
                </w:rPr>
                <w:t>Delivered scope</w:t>
              </w:r>
            </w:hyperlink>
            <w:r>
              <w:rPr>
                <w:sz w:val="18"/>
              </w:rPr>
              <w:t xml:space="preserve">, </w:t>
            </w:r>
            <w:hyperlink r:id="rId46">
              <w:r>
                <w:rPr>
                  <w:color w:val="0563C1"/>
                  <w:u w:val="single"/>
                </w:rPr>
                <w:t>email actually received on 7 October</w:t>
              </w:r>
            </w:hyperlink>
            <w:r>
              <w:rPr>
                <w:sz w:val="18"/>
              </w:rPr>
              <w:t xml:space="preserve">, </w:t>
            </w:r>
            <w:hyperlink r:id="rId47">
              <w:r>
                <w:rPr>
                  <w:color w:val="0563C1"/>
                  <w:u w:val="single"/>
                </w:rPr>
                <w:t>chat publication</w:t>
              </w:r>
            </w:hyperlink>
            <w:r>
              <w:rPr>
                <w:sz w:val="18"/>
              </w:rPr>
              <w:t>.</w:t>
            </w:r>
          </w:p>
        </w:tc>
      </w:tr>
    </w:tbl>
    <w:p>
      <w:r>
        <w:t xml:space="preserve">The main tools linked to the KPIs are </w:t>
      </w:r>
      <w:r>
        <w:rPr>
          <w:rFonts w:ascii="Consolas" w:hAnsi="Consolas"/>
        </w:rPr>
        <w:t>era5_ingest</w:t>
      </w:r>
      <w:r>
        <w:t xml:space="preserve">, </w:t>
      </w:r>
      <w:r>
        <w:rPr>
          <w:rFonts w:ascii="Consolas" w:hAnsi="Consolas"/>
        </w:rPr>
        <w:t>ndvi_ingest</w:t>
      </w:r>
      <w:r>
        <w:t xml:space="preserve">, </w:t>
      </w:r>
      <w:r>
        <w:rPr>
          <w:rFonts w:ascii="Consolas" w:hAnsi="Consolas"/>
        </w:rPr>
        <w:t>climate_enrich_ndvi</w:t>
      </w:r>
      <w:r>
        <w:t xml:space="preserve">, </w:t>
      </w:r>
      <w:r>
        <w:rPr>
          <w:rFonts w:ascii="Consolas" w:hAnsi="Consolas"/>
        </w:rPr>
        <w:t>climate_percentiles</w:t>
      </w:r>
      <w:r>
        <w:t xml:space="preserve">, </w:t>
      </w:r>
      <w:r>
        <w:rPr>
          <w:rFonts w:ascii="Consolas" w:hAnsi="Consolas"/>
        </w:rPr>
        <w:t>climate_normals</w:t>
      </w:r>
      <w:r>
        <w:t xml:space="preserve">, </w:t>
      </w:r>
      <w:r>
        <w:rPr>
          <w:rFonts w:ascii="Consolas" w:hAnsi="Consolas"/>
        </w:rPr>
        <w:t>forecast_query</w:t>
      </w:r>
      <w:r>
        <w:t xml:space="preserve">, </w:t>
      </w:r>
      <w:r>
        <w:rPr>
          <w:rFonts w:ascii="Consolas" w:hAnsi="Consolas"/>
        </w:rPr>
        <w:t>discover_patterns</w:t>
      </w:r>
      <w:r>
        <w:t xml:space="preserve">, </w:t>
      </w:r>
      <w:r>
        <w:rPr>
          <w:rFonts w:ascii="Consolas" w:hAnsi="Consolas"/>
        </w:rPr>
        <w:t>discover_patterns_cv</w:t>
      </w:r>
      <w:r>
        <w:t xml:space="preserve"> and </w:t>
      </w:r>
      <w:r>
        <w:rPr>
          <w:rFonts w:ascii="Consolas" w:hAnsi="Consolas"/>
        </w:rPr>
        <w:t>pattern_alert</w:t>
      </w:r>
      <w:r>
        <w:t>. The MCP protocol makes these capabilities callable by a client/agent; their availability in a space depends on the connector, permissions, storage and configured sources.</w:t>
      </w:r>
    </w:p>
    <w:p>
      <w:r>
        <w:t>Verifiable displays and calculations remain distinct from document RAG: the model can explain results but is not used as the source of the numbers. Reading back retained results acquires no new weather or satellite data.</w:t>
      </w:r>
    </w:p>
    <w:p>
      <w:pPr>
        <w:pStyle w:val="Heading2"/>
      </w:pPr>
      <w:r>
        <w:t>Qualification and environments</w:t>
      </w:r>
    </w:p>
    <w:p>
      <w:r>
        <w:t xml:space="preserve">The cited historical N1 and B6 evidence concerns </w:t>
      </w:r>
      <w:r>
        <w:rPr>
          <w:b/>
        </w:rPr>
        <w:t>a staging environment and authorized spaces</w:t>
      </w:r>
      <w:r>
        <w:t xml:space="preserve">, at the recorded dates and versions. Deploying the same code on </w:t>
      </w:r>
      <w:r>
        <w:rPr>
          <w:rFonts w:ascii="Consolas" w:hAnsi="Consolas"/>
        </w:rPr>
        <w:t>.ai</w:t>
      </w:r>
      <w:r>
        <w:t xml:space="preserve"> does not copy data packages or grant production spaces access to them. The </w:t>
      </w:r>
      <w:hyperlink r:id="rId30">
        <w:r>
          <w:rPr>
            <w:color w:val="0563C1"/>
            <w:u w:val="single"/>
          </w:rPr>
          <w:t>documented N1 registrations and checks</w:t>
        </w:r>
      </w:hyperlink>
      <w:r>
        <w:t xml:space="preserve"> are specific to the authorized environment and space. A historical demonstration on </w:t>
      </w:r>
      <w:r>
        <w:rPr>
          <w:rFonts w:ascii="Consolas" w:hAnsi="Consolas"/>
        </w:rPr>
        <w:t>.ai</w:t>
      </w:r>
      <w:r>
        <w:t xml:space="preserve"> therefore needs its own installation and authorization, without requiring the same archives to be collected again. </w:t>
      </w:r>
      <w:r>
        <w:rPr>
          <w:b/>
        </w:rPr>
        <w:t>This report provides no production qualification of that historical path.</w:t>
      </w:r>
      <w:r/>
    </w:p>
    <w:p>
      <w:r>
        <w:t>The forms and rich NDVI views have retention, refusal and Chromium rendering tests. As of this report, a new NDVI acquisition followed by reloading it in this new view remains to be confirmed through connected use; the older N1 reader evidence is retained separately.</w:t>
      </w:r>
    </w:p>
    <w:p>
      <w:pPr>
        <w:pStyle w:val="Heading1"/>
      </w:pPr>
      <w:r>
        <w:t>8. Impact contributions: KPIs 7 to 10</w:t>
      </w:r>
    </w:p>
    <w:p>
      <w:r/>
      <w:r>
        <w:rPr>
          <w:b/>
        </w:rPr>
        <w:t>KPI 7 — More than two indicators.</w:t>
      </w:r>
      <w:r>
        <w:t xml:space="preserve"> The shared technical evidence is that of KPI 4. Distinguish </w:t>
      </w:r>
      <w:r>
        <w:rPr>
          <w:b/>
        </w:rPr>
        <w:t>NDVI derived from Sentinel-2</w:t>
      </w:r>
      <w:r>
        <w:t xml:space="preserve"> from </w:t>
      </w:r>
      <w:r>
        <w:rPr>
          <w:b/>
        </w:rPr>
        <w:t>temperature and precipitation from ERA5</w:t>
      </w:r>
      <w:r>
        <w:t>, a reanalysis. The plan explicitly reserves FIERCE’s interpretation of “satellite data”. The report demonstrates the availability and analysis of three Copernicus indicators; it certifies neither three regulatory CSRD indicators nor three independent satellite measurements.</w:t>
      </w:r>
    </w:p>
    <w:p>
      <w:r/>
      <w:r>
        <w:rPr>
          <w:b/>
        </w:rPr>
        <w:t>KPI 8 — Pollution.</w:t>
      </w:r>
      <w:r>
        <w:t xml:space="preserve"> The plan states that no direct reduction above 5% is claimed during the project. Decision-support features do not constitute a measurement of avoided emissions or avoided air, soil or water pollution.</w:t>
      </w:r>
    </w:p>
    <w:p>
      <w:r/>
      <w:r>
        <w:rPr>
          <w:b/>
        </w:rPr>
        <w:t>KPI 9 — Resources.</w:t>
      </w:r>
      <w:r>
        <w:t xml:space="preserve"> The </w:t>
      </w:r>
      <w:r>
        <w:rPr>
          <w:b/>
        </w:rPr>
        <w:t>5–10% target is a projection</w:t>
      </w:r>
      <w:r>
        <w:t>, to be supported by a pilot scenario specifying the baseline, the operation concerned, assumptions and calculation method. No measurement of this impact was found in the technical materials examined. Interviews can inform these assumptions; they do not become observed gains. This supporting material remains to be completed by the business-study/coordination team.</w:t>
      </w:r>
    </w:p>
    <w:p>
      <w:r/>
      <w:r>
        <w:rPr>
          <w:b/>
        </w:rPr>
        <w:t>KPI 10 — CRM.</w:t>
      </w:r>
      <w:r>
        <w:t xml:space="preserve"> The project announces no contribution to the recycling, recovery or extraction of critical raw materials. This KPI remains outside the scope, as stated in the source plan.</w:t>
      </w:r>
    </w:p>
    <w:p>
      <w:pPr>
        <w:pStyle w:val="Heading1"/>
      </w:pPr>
      <w:r>
        <w:t>9. Objective maturity assessment and TRL evidence</w:t>
      </w:r>
    </w:p>
    <w:p>
      <w:pPr>
        <w:pStyle w:val="Heading2"/>
      </w:pPr>
      <w:r>
        <w:t>Reference framework and assessed technology</w:t>
      </w:r>
    </w:p>
    <w:p>
      <w:r>
        <w:t xml:space="preserve">The plan specifies </w:t>
      </w:r>
      <w:r>
        <w:rPr>
          <w:b/>
        </w:rPr>
        <w:t>TRL 4 → 6, IRL 3 → 4 and SRL 3 → 5</w:t>
      </w:r>
      <w:r>
        <w:t xml:space="preserve">. Our technical assessment, based on this dossier's dated evidence, is </w:t>
      </w:r>
      <w:r>
        <w:rPr>
          <w:b/>
        </w:rPr>
        <w:t>a supported TRL 6 for the integrated geospatial demonstrator within its documented scope; TRL 7 is not established.</w:t>
      </w:r>
      <w:r>
        <w:t xml:space="preserve"> This is a technical self-assessment with moderate confidence, rather than an external FIERCE decision.</w:t>
      </w:r>
    </w:p>
    <w:p>
      <w:r>
        <w:t xml:space="preserve">The reference is the </w:t>
      </w:r>
      <w:hyperlink r:id="rId48">
        <w:r>
          <w:rPr>
            <w:color w:val="0563C1"/>
            <w:u w:val="single"/>
          </w:rPr>
          <w:t>Horizon Europe 2026–2027 General Annexes, section B, page 15 of the current PDF</w:t>
        </w:r>
      </w:hyperlink>
      <w:r>
        <w:t>, consulted on 28 October. In summary, level 4 concerns validation under laboratory conditions; level 5 concerns validation under representative conditions; level 6 concerns demonstration under those conditions; level 7 concerns demonstration of the system prototype in its operational setting. We use this framework for the assessment; it does not replace any programme-specific appraisal.</w:t>
      </w:r>
    </w:p>
    <w:p>
      <w:r>
        <w:t xml:space="preserve">The assessed technology is </w:t>
      </w:r>
      <w:r>
        <w:rPr>
          <w:b/>
        </w:rPr>
        <w:t>the geospatial pipeline added to DEPOSIUM</w:t>
      </w:r>
      <w:r>
        <w:t>: real-data preparation, indicators, tools, authorized conversational access, retention, forecast-threshold notifications and historical explanatory analysis. Its level is not automatically inherited from the pre-existing document platform. The novel pattern-based environmental prediction capability is assessed separately below.</w:t>
      </w:r>
    </w:p>
    <w:p>
      <w:pPr>
        <w:pStyle w:val="Heading2"/>
      </w:pPr>
      <w:r>
        <w:t>Why TRL 6 is defensible</w:t>
      </w:r>
    </w:p>
    <w:tbl>
      <w:tblPr>
        <w:tblStyle w:val="LightShading-Accent1"/>
        <w:tblW w:type="auto" w:w="0"/>
        <w:tblLook w:firstColumn="1" w:firstRow="1" w:lastColumn="0" w:lastRow="0" w:noHBand="0" w:noVBand="1" w:val="04A0"/>
      </w:tblPr>
      <w:tblGrid>
        <w:gridCol w:w="3345"/>
        <w:gridCol w:w="3345"/>
        <w:gridCol w:w="3345"/>
      </w:tblGrid>
      <w:tr>
        <w:trPr>
          <w:tblHeader/>
        </w:trPr>
        <w:tc>
          <w:tcPr>
            <w:tcW w:type="dxa" w:w="3345"/>
          </w:tcPr>
          <w:p>
            <w:r>
              <w:rPr>
                <w:sz w:val="18"/>
              </w:rPr>
              <w:t>Criterion considered</w:t>
            </w:r>
          </w:p>
        </w:tc>
        <w:tc>
          <w:tcPr>
            <w:tcW w:type="dxa" w:w="3345"/>
          </w:tcPr>
          <w:p>
            <w:r>
              <w:rPr>
                <w:sz w:val="18"/>
              </w:rPr>
              <w:t>Concrete evidence</w:t>
            </w:r>
          </w:p>
        </w:tc>
        <w:tc>
          <w:tcPr>
            <w:tcW w:type="dxa" w:w="3345"/>
          </w:tcPr>
          <w:p>
            <w:r>
              <w:rPr>
                <w:sz w:val="18"/>
              </w:rPr>
              <w:t>Contribution to the assessment</w:t>
            </w:r>
          </w:p>
        </w:tc>
      </w:tr>
      <w:tr>
        <w:tc>
          <w:tcPr>
            <w:tcW w:type="dxa" w:w="3345"/>
          </w:tcPr>
          <w:p>
            <w:r>
              <w:rPr>
                <w:sz w:val="18"/>
              </w:rPr>
              <w:t>Representative inputs and conditions</w:t>
            </w:r>
          </w:p>
        </w:tc>
        <w:tc>
          <w:tcPr>
            <w:tcW w:type="dxa" w:w="3345"/>
          </w:tcPr>
          <w:p>
            <w:r>
              <w:rPr>
                <w:sz w:val="18"/>
              </w:rPr>
            </w:r>
            <w:hyperlink r:id="rId26">
              <w:r>
                <w:rPr>
                  <w:color w:val="0563C1"/>
                  <w:u w:val="single"/>
                </w:rPr>
                <w:t>Real ERA5 data across 15 zones</w:t>
              </w:r>
            </w:hyperlink>
            <w:r>
              <w:rPr>
                <w:sz w:val="18"/>
              </w:rPr>
              <w:t xml:space="preserve"> and </w:t>
            </w:r>
            <w:hyperlink r:id="rId28">
              <w:r>
                <w:rPr>
                  <w:color w:val="0563C1"/>
                  <w:u w:val="single"/>
                </w:rPr>
                <w:t>real NDVI across three pilots</w:t>
              </w:r>
            </w:hyperlink>
            <w:r>
              <w:rPr>
                <w:sz w:val="18"/>
              </w:rPr>
              <w:t>, with geometries, units, gaps and manifests.</w:t>
            </w:r>
          </w:p>
        </w:tc>
        <w:tc>
          <w:tcPr>
            <w:tcW w:type="dxa" w:w="3345"/>
          </w:tcPr>
          <w:p>
            <w:r>
              <w:rPr>
                <w:sz w:val="18"/>
              </w:rPr>
              <w:t>Validation is not limited to synthetic examples.</w:t>
            </w:r>
          </w:p>
        </w:tc>
      </w:tr>
      <w:tr>
        <w:tc>
          <w:tcPr>
            <w:tcW w:type="dxa" w:w="3345"/>
          </w:tcPr>
          <w:p>
            <w:r>
              <w:rPr>
                <w:sz w:val="18"/>
              </w:rPr>
              <w:t>Integrated application workflow</w:t>
            </w:r>
          </w:p>
        </w:tc>
        <w:tc>
          <w:tcPr>
            <w:tcW w:type="dxa" w:w="3345"/>
          </w:tcPr>
          <w:p>
            <w:r>
              <w:rPr>
                <w:sz w:val="18"/>
              </w:rPr>
            </w:r>
            <w:hyperlink r:id="rId30">
              <w:r>
                <w:rPr>
                  <w:color w:val="0563C1"/>
                  <w:u w:val="single"/>
                </w:rPr>
                <w:t>N1: 130 exact rows in chat, pagination, retention and readback after reload</w:t>
              </w:r>
            </w:hyperlink>
            <w:r>
              <w:rPr>
                <w:sz w:val="18"/>
              </w:rPr>
              <w:t>.</w:t>
            </w:r>
          </w:p>
        </w:tc>
        <w:tc>
          <w:tcPr>
            <w:tcW w:type="dxa" w:w="3345"/>
          </w:tcPr>
          <w:p>
            <w:r>
              <w:rPr>
                <w:sz w:val="18"/>
              </w:rPr>
              <w:t>Demonstration uses the deployed application, actual user identity, space permissions and storage.</w:t>
            </w:r>
          </w:p>
        </w:tc>
      </w:tr>
      <w:tr>
        <w:tc>
          <w:tcPr>
            <w:tcW w:type="dxa" w:w="3345"/>
          </w:tcPr>
          <w:p>
            <w:r>
              <w:rPr>
                <w:sz w:val="18"/>
              </w:rPr>
              <w:t>Actual acquisition and analysis</w:t>
            </w:r>
          </w:p>
        </w:tc>
        <w:tc>
          <w:tcPr>
            <w:tcW w:type="dxa" w:w="3345"/>
          </w:tcPr>
          <w:p>
            <w:r>
              <w:rPr>
                <w:sz w:val="18"/>
              </w:rPr>
            </w:r>
            <w:hyperlink r:id="rId49">
              <w:r>
                <w:rPr>
                  <w:color w:val="0563C1"/>
                  <w:u w:val="single"/>
                </w:rPr>
                <w:t>Real Site-Watch run on 4 October</w:t>
              </w:r>
            </w:hyperlink>
            <w:r>
              <w:rPr>
                <w:sz w:val="18"/>
              </w:rPr>
              <w:t>: provider forecast, normals, classification and retained result.</w:t>
            </w:r>
          </w:p>
        </w:tc>
        <w:tc>
          <w:tcPr>
            <w:tcW w:type="dxa" w:w="3345"/>
          </w:tcPr>
          <w:p>
            <w:r>
              <w:rPr>
                <w:sz w:val="18"/>
              </w:rPr>
              <w:t>The service performs environmental processing representative of the intended use.</w:t>
            </w:r>
          </w:p>
        </w:tc>
      </w:tr>
      <w:tr>
        <w:tc>
          <w:tcPr>
            <w:tcW w:type="dxa" w:w="3345"/>
          </w:tcPr>
          <w:p>
            <w:r>
              <w:rPr>
                <w:sz w:val="18"/>
              </w:rPr>
              <w:t>Scheduled execution reaching a recipient</w:t>
            </w:r>
          </w:p>
        </w:tc>
        <w:tc>
          <w:tcPr>
            <w:tcW w:type="dxa" w:w="3345"/>
          </w:tcPr>
          <w:p>
            <w:r>
              <w:rPr>
                <w:sz w:val="18"/>
              </w:rPr>
            </w:r>
            <w:hyperlink r:id="rId46">
              <w:r>
                <w:rPr>
                  <w:color w:val="0563C1"/>
                  <w:u w:val="single"/>
                </w:rPr>
                <w:t>Natural 7 October bulletin and inbox receipt</w:t>
              </w:r>
            </w:hyperlink>
            <w:r>
              <w:rPr>
                <w:sz w:val="18"/>
              </w:rPr>
              <w:t>.</w:t>
            </w:r>
          </w:p>
        </w:tc>
        <w:tc>
          <w:tcPr>
            <w:tcW w:type="dxa" w:w="3345"/>
          </w:tcPr>
          <w:p>
            <w:r>
              <w:rPr>
                <w:sz w:val="18"/>
              </w:rPr>
              <w:t>The forecast → scheduled task → retention → delivery chain reaches a real recipient. This occurrence does not establish general reliability or an SLA.</w:t>
            </w:r>
          </w:p>
        </w:tc>
      </w:tr>
      <w:tr>
        <w:tc>
          <w:tcPr>
            <w:tcW w:type="dxa" w:w="3345"/>
          </w:tcPr>
          <w:p>
            <w:r>
              <w:rPr>
                <w:sz w:val="18"/>
              </w:rPr>
              <w:t>Integrated explanatory pattern analysis</w:t>
            </w:r>
          </w:p>
        </w:tc>
        <w:tc>
          <w:tcPr>
            <w:tcW w:type="dxa" w:w="3345"/>
          </w:tcPr>
          <w:p>
            <w:r>
              <w:rPr>
                <w:sz w:val="18"/>
              </w:rPr>
            </w:r>
            <w:hyperlink r:id="rId33">
              <w:r>
                <w:rPr>
                  <w:color w:val="0563C1"/>
                  <w:u w:val="single"/>
                </w:rPr>
                <w:t>Historical B6: 149 patterns, two displayed results and two protected reads verifying persistence</w:t>
              </w:r>
            </w:hyperlink>
            <w:r>
              <w:rPr>
                <w:sz w:val="18"/>
              </w:rPr>
              <w:t>.</w:t>
            </w:r>
          </w:p>
        </w:tc>
        <w:tc>
          <w:tcPr>
            <w:tcW w:type="dxa" w:w="3345"/>
          </w:tcPr>
          <w:p>
            <w:r>
              <w:rPr>
                <w:sz w:val="18"/>
              </w:rPr>
              <w:t>The bounded calculation was demonstrated in the application; scientific and activation states remain unchanged.</w:t>
            </w:r>
          </w:p>
        </w:tc>
      </w:tr>
    </w:tbl>
    <w:p>
      <w:r>
        <w:t xml:space="preserve">The relevant environment is the deployed SaaS with its actual services, sources, permissions and storage, used on real pilot problems. Observing a workflow in staging does not automatically reduce it to a laboratory experiment. </w:t>
      </w:r>
      <w:r>
        <w:rPr>
          <w:b/>
        </w:rPr>
        <w:t>TRL 5 is strongly supported; the integrated-workflow demonstrations justify our TRL 6 assessment for this scope.</w:t>
      </w:r>
      <w:r>
        <w:t xml:space="preserve"> Unit tests, CI and deployments alone would not support that conclusion.</w:t>
      </w:r>
    </w:p>
    <w:p>
      <w:r>
        <w:t>Confidence remains moderate: the campaigns are bounded, the owner acts as the pilot user, N1/B6 use historical data, and demonstrations occurred on different dates. This assessment does not extend to every account, site, language or new interface. Neither predictive gain nor commercial acceptance is inferred from the maturity assessment.</w:t>
      </w:r>
    </w:p>
    <w:p>
      <w:pPr>
        <w:pStyle w:val="Heading2"/>
      </w:pPr>
      <w:r>
        <w:t>What is not established: TRL 7 and novel prediction</w:t>
      </w:r>
    </w:p>
    <w:p>
      <w:r/>
      <w:r>
        <w:rPr>
          <w:b/>
        </w:rPr>
        <w:t>We do not assign TRL 7 to the complete GeoAI system.</w:t>
      </w:r>
      <w:r>
        <w:t xml:space="preserve"> The records do not yet demonstrate the whole prototype performing a representative environmental business workflow in its intended operational context. Production deployment or one received email is insufficient to establish that. A focused next-stage campaign could document use by the intended operators, expected outputs, their use, errors and recovery in that context. We impose no arbitrary duration or additional signature as a universal TRL 7 rule.</w:t>
      </w:r>
    </w:p>
    <w:p>
      <w:r/>
      <w:r>
        <w:rPr>
          <w:b/>
        </w:rPr>
        <w:t>Novel pattern-based predictive alerting is a separate capability: its research components are at approximately TRL 4 at most on the available evidence; TRL 5/6 is not demonstrated for that function.</w:t>
      </w:r>
      <w:r>
        <w:t xml:space="preserve"> A positively qualified native library and a validated link between patterns and future environmental impacts have not been supplied. The </w:t>
      </w:r>
      <w:hyperlink r:id="rId50">
        <w:r>
          <w:rPr>
            <w:color w:val="0563C1"/>
            <w:u w:val="single"/>
          </w:rPr>
          <w:t>pattern-qualification record</w:t>
        </w:r>
      </w:hyperlink>
      <w:r>
        <w:t xml:space="preserve">, </w:t>
      </w:r>
      <w:hyperlink r:id="rId16">
        <w:r>
          <w:rPr>
            <w:color w:val="0563C1"/>
            <w:u w:val="single"/>
          </w:rPr>
          <w:t>held-out evaluation</w:t>
        </w:r>
      </w:hyperlink>
      <w:r>
        <w:t xml:space="preserve"> and </w:t>
      </w:r>
      <w:hyperlink r:id="rId25">
        <w:r>
          <w:rPr>
            <w:color w:val="0563C1"/>
            <w:u w:val="single"/>
          </w:rPr>
          <w:t>NDVI ablation</w:t>
        </w:r>
      </w:hyperlink>
      <w:r>
        <w:t xml:space="preserve"> establish this boundary. The negative ablation result alone does not remove TRL 6 from the integrated demonstrator; it also does not demonstrate the missing predictive function.</w:t>
      </w:r>
    </w:p>
    <w:p>
      <w:pPr>
        <w:pStyle w:val="Heading2"/>
      </w:pPr>
      <w:r>
        <w:t>Recommended submission wording</w:t>
      </w:r>
    </w:p>
    <w:p>
      <w:r>
        <w:t xml:space="preserve">“Our self-assessment assigns </w:t>
      </w:r>
      <w:r>
        <w:rPr>
          <w:b/>
        </w:rPr>
        <w:t>TRL 6 to the integrated geospatial demonstrator</w:t>
      </w:r>
      <w:r>
        <w:t>, within the scope of workflows actually demonstrated with real data in a relevant pilot environment: indicators, authorized conversational access, retention, historical explanatory analysis and forecast-threshold notifications. This assessment does not cover scientifically validated novel environmental prediction, calibrated probabilities, or TRL 7 for the complete system.”</w:t>
      </w:r>
    </w:p>
    <w:p>
      <w:r>
        <w:t xml:space="preserve">Conformity of the adapted scope with the initial plan and external FIERCE appraisal remain separate from this technical assessment. </w:t>
      </w:r>
      <w:r>
        <w:rPr>
          <w:b/>
        </w:rPr>
        <w:t>IRL/SRL</w:t>
      </w:r>
      <w:r>
        <w:t xml:space="preserve"> require the corresponding commercial, user and business evidence; their final levels are not inferred from the number of pull requests or accepted lots.</w:t>
      </w:r>
    </w:p>
    <w:p>
      <w:pPr>
        <w:pStyle w:val="Heading1"/>
      </w:pPr>
      <w:r>
        <w:t>10. Submission materials and evidence locations</w:t>
      </w:r>
    </w:p>
    <w:tbl>
      <w:tblPr>
        <w:tblStyle w:val="LightShading-Accent1"/>
        <w:tblW w:type="auto" w:w="0"/>
        <w:tblLook w:firstColumn="1" w:firstRow="1" w:lastColumn="0" w:lastRow="0" w:noHBand="0" w:noVBand="1" w:val="04A0"/>
      </w:tblPr>
      <w:tblGrid>
        <w:gridCol w:w="3345"/>
        <w:gridCol w:w="3345"/>
        <w:gridCol w:w="3345"/>
      </w:tblGrid>
      <w:tr>
        <w:trPr>
          <w:tblHeader/>
        </w:trPr>
        <w:tc>
          <w:tcPr>
            <w:tcW w:type="dxa" w:w="3345"/>
          </w:tcPr>
          <w:p>
            <w:r>
              <w:rPr>
                <w:sz w:val="18"/>
              </w:rPr>
              <w:t>Material</w:t>
            </w:r>
          </w:p>
        </w:tc>
        <w:tc>
          <w:tcPr>
            <w:tcW w:type="dxa" w:w="3345"/>
          </w:tcPr>
          <w:p>
            <w:r>
              <w:rPr>
                <w:sz w:val="18"/>
              </w:rPr>
              <w:t>Consolidation responsibility</w:t>
            </w:r>
          </w:p>
        </w:tc>
        <w:tc>
          <w:tcPr>
            <w:tcW w:type="dxa" w:w="3345"/>
          </w:tcPr>
          <w:p>
            <w:r>
              <w:t>Content and evidence location</w:t>
            </w:r>
          </w:p>
        </w:tc>
      </w:tr>
      <w:tr>
        <w:tc>
          <w:tcPr>
            <w:tcW w:type="dxa" w:w="3345"/>
          </w:tcPr>
          <w:p>
            <w:r>
              <w:t>D1 commercial study and readiness</w:t>
            </w:r>
          </w:p>
        </w:tc>
        <w:tc>
          <w:tcPr>
            <w:tcW w:type="dxa" w:w="3345"/>
          </w:tcPr>
          <w:p>
            <w:r>
              <w:t>CLELYA / Amandine / Nicolas</w:t>
            </w:r>
          </w:p>
        </w:tc>
        <w:tc>
          <w:tcPr>
            <w:tcW w:type="dxa" w:w="3345"/>
          </w:tcPr>
          <w:p>
            <w:r>
              <w:t>Five service components reported completed (5/5) in the 29 October milestone report. The confidential supporting materials are referenced there, in sections 2.1 and 2.2; they are outside this public annex.</w:t>
            </w:r>
          </w:p>
        </w:tc>
      </w:tr>
      <w:tr>
        <w:tc>
          <w:tcPr>
            <w:tcW w:type="dxa" w:w="3345"/>
          </w:tcPr>
          <w:p>
            <w:r>
              <w:rPr>
                <w:sz w:val="18"/>
              </w:rPr>
              <w:t>D2 scientific evidence package</w:t>
            </w:r>
          </w:p>
        </w:tc>
        <w:tc>
          <w:tcPr>
            <w:tcW w:type="dxa" w:w="3345"/>
          </w:tcPr>
          <w:p>
            <w:r>
              <w:rPr>
                <w:sz w:val="18"/>
              </w:rPr>
              <w:t>Nicolas, drawing on Dickson’s deliveries</w:t>
            </w:r>
          </w:p>
        </w:tc>
        <w:tc>
          <w:tcPr>
            <w:tcW w:type="dxa" w:w="3345"/>
          </w:tcPr>
          <w:p>
            <w:r>
              <w:rPr>
                <w:sz w:val="18"/>
              </w:rPr>
              <w:t>Reproduced WP0, package/catalogue, validation report, negative results, O1–O5 acceptances and limitations. This report links to those existing materials.</w:t>
            </w:r>
          </w:p>
        </w:tc>
      </w:tr>
      <w:tr>
        <w:tc>
          <w:tcPr>
            <w:tcW w:type="dxa" w:w="3345"/>
          </w:tcPr>
          <w:p>
            <w:r>
              <w:rPr>
                <w:sz w:val="18"/>
              </w:rPr>
              <w:t>D3 pipeline evidence package</w:t>
            </w:r>
          </w:p>
        </w:tc>
        <w:tc>
          <w:tcPr>
            <w:tcW w:type="dxa" w:w="3345"/>
          </w:tcPr>
          <w:p>
            <w:r>
              <w:rPr>
                <w:sz w:val="18"/>
              </w:rPr>
              <w:t>Nicolas, drawing on Jonathan’s deliveries and Deposium integration</w:t>
            </w:r>
          </w:p>
        </w:tc>
        <w:tc>
          <w:tcPr>
            <w:tcW w:type="dxa" w:w="3345"/>
          </w:tcPr>
          <w:p>
            <w:r>
              <w:rPr>
                <w:sz w:val="18"/>
              </w:rPr>
              <w:t>B1–B6 evidence, versions, acceptances, model adaptations and the interpretation of the score.</w:t>
            </w:r>
          </w:p>
        </w:tc>
      </w:tr>
      <w:tr>
        <w:tc>
          <w:tcPr>
            <w:tcW w:type="dxa" w:w="3345"/>
          </w:tcPr>
          <w:p>
            <w:r>
              <w:rPr>
                <w:sz w:val="18"/>
              </w:rPr>
              <w:t>KPI 3 / KPI 4 video</w:t>
            </w:r>
          </w:p>
        </w:tc>
        <w:tc>
          <w:tcPr>
            <w:tcW w:type="dxa" w:w="3345"/>
          </w:tcPr>
          <w:p>
            <w:r>
              <w:rPr>
                <w:sz w:val="18"/>
              </w:rPr>
              <w:t>Nicolas / coordination</w:t>
            </w:r>
          </w:p>
        </w:tc>
        <w:tc>
          <w:tcPr>
            <w:tcW w:type="dxa" w:w="3345"/>
          </w:tcPr>
          <w:p>
            <w:r>
              <w:rPr>
                <w:sz w:val="18"/>
              </w:rPr>
              <w:t>Show the SaaS platform specified in the plan, the three pilots, the three indicators and their analysis; retain the URL/date/version and the environment actually used. This audit produces no video and does not claim one has been submitted.</w:t>
            </w:r>
          </w:p>
        </w:tc>
      </w:tr>
      <w:tr>
        <w:tc>
          <w:tcPr>
            <w:tcW w:type="dxa" w:w="3345"/>
          </w:tcPr>
          <w:p>
            <w:r>
              <w:rPr>
                <w:sz w:val="18"/>
              </w:rPr>
              <w:t>KPI 9 impact scenario</w:t>
            </w:r>
          </w:p>
        </w:tc>
        <w:tc>
          <w:tcPr>
            <w:tcW w:type="dxa" w:w="3345"/>
          </w:tcPr>
          <w:p>
            <w:r>
              <w:rPr>
                <w:sz w:val="18"/>
              </w:rPr>
              <w:t>Business study / coordination</w:t>
            </w:r>
          </w:p>
        </w:tc>
        <w:tc>
          <w:tcPr>
            <w:tcW w:type="dxa" w:w="3345"/>
          </w:tcPr>
          <w:p>
            <w:r>
              <w:rPr>
                <w:sz w:val="18"/>
              </w:rPr>
              <w:t>A justified, quantified projection, clearly distinguished from a measured result.</w:t>
            </w:r>
          </w:p>
        </w:tc>
      </w:tr>
      <w:tr>
        <w:tc>
          <w:tcPr>
            <w:tcW w:type="dxa" w:w="3345"/>
          </w:tcPr>
          <w:p>
            <w:r>
              <w:rPr>
                <w:sz w:val="18"/>
              </w:rPr>
              <w:t>Access to evidence</w:t>
            </w:r>
          </w:p>
        </w:tc>
        <w:tc>
          <w:tcPr>
            <w:tcW w:type="dxa" w:w="3345"/>
          </w:tcPr>
          <w:p>
            <w:r>
              <w:rPr>
                <w:sz w:val="18"/>
              </w:rPr>
              <w:t>Nicolas / coordination</w:t>
            </w:r>
          </w:p>
        </w:tc>
        <w:tc>
          <w:tcPr>
            <w:tcW w:type="dxa" w:w="3345"/>
          </w:tcPr>
          <w:p>
            <w:r>
              <w:rPr>
                <w:sz w:val="18"/>
              </w:rPr>
              <w:t>The public cited excerpts and source map; any unpublished underlying artifacts, original contractual documents and commercial materials must be supplied separately when required.</w:t>
            </w:r>
          </w:p>
        </w:tc>
      </w:tr>
    </w:tbl>
    <w:p>
      <w:r/>
      <w:r>
        <w:rPr>
          <w:b/>
        </w:rPr>
        <w:t>Suggested assessment wording:</w:t>
      </w:r>
      <w:r>
        <w:t xml:space="preserve"> “The project has delivered a geospatial pipeline integrated into DEPOSIUM, traceable ERA5 and Sentinel-2 datasets, pattern-discovery tools and their reproducible evaluation. The modules were accepted within explicitly documented technical scopes. The experiments do not support claims of general predictive superiority or calibrated event probabilities. Demonstrations and business evidence complement this implementation report.”</w:t>
      </w:r>
    </w:p>
    <w:sectPr w:rsidR="00FC693F" w:rsidRPr="0006063C" w:rsidSect="00034616">
      <w:footerReference w:type="default" r:id="rId51"/>
      <w:pgSz w:w="11906" w:h="16838"/>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DEPOSIUM GeoAI · FIERCE public evidence · 28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384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8384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8384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84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theseedship/mcp_geoai_deposium/blob/main/docs/evidence/README.md" TargetMode="External"/><Relationship Id="rId10" Type="http://schemas.openxmlformats.org/officeDocument/2006/relationships/hyperlink" Target="https://github.com/theseedship/mcp_geoai_deposium/blob/66252f53960d6ac7c9cb6c92587dcb4f8ee8a05a/docs/evidence/source-map.json" TargetMode="External"/><Relationship Id="rId11" Type="http://schemas.openxmlformats.org/officeDocument/2006/relationships/hyperlink" Target="https://github.com/theseedship/mcp_geoai_deposium/blob/66252f53960d6ac7c9cb6c92587dcb4f8ee8a05a/docs/evidence/proofs/proof-02.md" TargetMode="External"/><Relationship Id="rId12" Type="http://schemas.openxmlformats.org/officeDocument/2006/relationships/hyperlink" Target="https://github.com/theseedship/mcp_geoai_deposium/blob/66252f53960d6ac7c9cb6c92587dcb4f8ee8a05a/docs/evidence/proofs/proof-26.md" TargetMode="External"/><Relationship Id="rId13" Type="http://schemas.openxmlformats.org/officeDocument/2006/relationships/hyperlink" Target="https://github.com/theseedship/mcp_geoai_deposium/blob/66252f53960d6ac7c9cb6c92587dcb4f8ee8a05a/docs/evidence/proofs/record-01.md" TargetMode="External"/><Relationship Id="rId14" Type="http://schemas.openxmlformats.org/officeDocument/2006/relationships/hyperlink" Target="https://github.com/theseedship/mcp_geoai_deposium/blob/66252f53960d6ac7c9cb6c92587dcb4f8ee8a05a/docs/evidence/proofs/proof-23.md" TargetMode="External"/><Relationship Id="rId15" Type="http://schemas.openxmlformats.org/officeDocument/2006/relationships/hyperlink" Target="https://github.com/theseedship/mcp_geoai_deposium/blob/66252f53960d6ac7c9cb6c92587dcb4f8ee8a05a/docs/evidence/proofs/proof-01.md" TargetMode="External"/><Relationship Id="rId16" Type="http://schemas.openxmlformats.org/officeDocument/2006/relationships/hyperlink" Target="https://github.com/theseedship/mcp_geoai_deposium/blob/66252f53960d6ac7c9cb6c92587dcb4f8ee8a05a/docs/evidence/proofs/proof-22.md" TargetMode="External"/><Relationship Id="rId17" Type="http://schemas.openxmlformats.org/officeDocument/2006/relationships/hyperlink" Target="https://github.com/theseedship/mcp_geoai_deposium/blob/66252f53960d6ac7c9cb6c92587dcb4f8ee8a05a/docs/evidence/proofs/proof-15.md" TargetMode="External"/><Relationship Id="rId18" Type="http://schemas.openxmlformats.org/officeDocument/2006/relationships/hyperlink" Target="https://github.com/theseedship/mcp_geoai_deposium/blob/66252f53960d6ac7c9cb6c92587dcb4f8ee8a05a/docs/evidence/proofs/record-02.md" TargetMode="External"/><Relationship Id="rId19" Type="http://schemas.openxmlformats.org/officeDocument/2006/relationships/hyperlink" Target="https://github.com/theseedship/mcp_geoai_deposium/blob/66252f53960d6ac7c9cb6c92587dcb4f8ee8a05a/docs/evidence/proofs/record-03.md" TargetMode="External"/><Relationship Id="rId20" Type="http://schemas.openxmlformats.org/officeDocument/2006/relationships/hyperlink" Target="https://github.com/theseedship/mcp_geoai_deposium/blob/66252f53960d6ac7c9cb6c92587dcb4f8ee8a05a/docs/evidence/proofs/proof-12.md" TargetMode="External"/><Relationship Id="rId21" Type="http://schemas.openxmlformats.org/officeDocument/2006/relationships/hyperlink" Target="https://github.com/theseedship/mcp_geoai_deposium/blob/66252f53960d6ac7c9cb6c92587dcb4f8ee8a05a/docs/evidence/proofs/record-04.md" TargetMode="External"/><Relationship Id="rId22" Type="http://schemas.openxmlformats.org/officeDocument/2006/relationships/hyperlink" Target="https://github.com/theseedship/mcp_geoai_deposium/blob/860f11568c1888a4d5b461df14df94febe8558eb/pyproject.toml" TargetMode="External"/><Relationship Id="rId23" Type="http://schemas.openxmlformats.org/officeDocument/2006/relationships/hyperlink" Target="https://github.com/theseedship/mcp_geoai_deposium/blob/66252f53960d6ac7c9cb6c92587dcb4f8ee8a05a/docs/evidence/proofs/record-05.md" TargetMode="External"/><Relationship Id="rId24" Type="http://schemas.openxmlformats.org/officeDocument/2006/relationships/hyperlink" Target="https://github.com/theseedship/mcp_geoai_deposium/blob/66252f53960d6ac7c9cb6c92587dcb4f8ee8a05a/docs/evidence/proofs/proof-25.md" TargetMode="External"/><Relationship Id="rId25" Type="http://schemas.openxmlformats.org/officeDocument/2006/relationships/hyperlink" Target="https://github.com/theseedship/mcp_geoai_deposium/blob/66252f53960d6ac7c9cb6c92587dcb4f8ee8a05a/docs/evidence/proofs/proof-21.md" TargetMode="External"/><Relationship Id="rId26" Type="http://schemas.openxmlformats.org/officeDocument/2006/relationships/hyperlink" Target="https://github.com/theseedship/mcp_geoai_deposium/blob/66252f53960d6ac7c9cb6c92587dcb4f8ee8a05a/docs/evidence/proofs/proof-09.md" TargetMode="External"/><Relationship Id="rId27" Type="http://schemas.openxmlformats.org/officeDocument/2006/relationships/hyperlink" Target="https://github.com/theseedship/mcp_geoai_deposium/blob/66252f53960d6ac7c9cb6c92587dcb4f8ee8a05a/docs/evidence/proofs/proof-07.md" TargetMode="External"/><Relationship Id="rId28" Type="http://schemas.openxmlformats.org/officeDocument/2006/relationships/hyperlink" Target="https://github.com/theseedship/mcp_geoai_deposium/blob/66252f53960d6ac7c9cb6c92587dcb4f8ee8a05a/docs/evidence/proofs/proof-03.md" TargetMode="External"/><Relationship Id="rId29" Type="http://schemas.openxmlformats.org/officeDocument/2006/relationships/hyperlink" Target="https://github.com/theseedship/mcp_geoai_deposium/blob/66252f53960d6ac7c9cb6c92587dcb4f8ee8a05a/docs/evidence/proofs/proof-04.md" TargetMode="External"/><Relationship Id="rId30" Type="http://schemas.openxmlformats.org/officeDocument/2006/relationships/hyperlink" Target="https://github.com/theseedship/mcp_geoai_deposium/blob/66252f53960d6ac7c9cb6c92587dcb4f8ee8a05a/docs/evidence/proofs/proof-11.md" TargetMode="External"/><Relationship Id="rId31" Type="http://schemas.openxmlformats.org/officeDocument/2006/relationships/hyperlink" Target="https://github.com/theseedship/mcp_geoai_deposium/blob/66252f53960d6ac7c9cb6c92587dcb4f8ee8a05a/docs/evidence/proofs/proof-05.md" TargetMode="External"/><Relationship Id="rId32" Type="http://schemas.openxmlformats.org/officeDocument/2006/relationships/hyperlink" Target="https://github.com/theseedship/mcp_geoai_deposium/blob/66252f53960d6ac7c9cb6c92587dcb4f8ee8a05a/docs/evidence/proofs/record-06.md" TargetMode="External"/><Relationship Id="rId33" Type="http://schemas.openxmlformats.org/officeDocument/2006/relationships/hyperlink" Target="https://github.com/theseedship/mcp_geoai_deposium/blob/66252f53960d6ac7c9cb6c92587dcb4f8ee8a05a/docs/evidence/proofs/proof-06.md" TargetMode="External"/><Relationship Id="rId34" Type="http://schemas.openxmlformats.org/officeDocument/2006/relationships/hyperlink" Target="https://github.com/theseedship/mcp_geoai_deposium/blob/66252f53960d6ac7c9cb6c92587dcb4f8ee8a05a/docs/evidence/proofs/record-07.md" TargetMode="External"/><Relationship Id="rId35" Type="http://schemas.openxmlformats.org/officeDocument/2006/relationships/hyperlink" Target="https://github.com/theseedship/mcp_geoai_deposium/blob/66252f53960d6ac7c9cb6c92587dcb4f8ee8a05a/docs/evidence/proofs/proof-08.md" TargetMode="External"/><Relationship Id="rId36" Type="http://schemas.openxmlformats.org/officeDocument/2006/relationships/hyperlink" Target="https://github.com/theseedship/mcp_geoai_deposium/blob/66252f53960d6ac7c9cb6c92587dcb4f8ee8a05a/docs/evidence/proofs/proof-20.md" TargetMode="External"/><Relationship Id="rId37" Type="http://schemas.openxmlformats.org/officeDocument/2006/relationships/hyperlink" Target="https://github.com/theseedship/mcp_geoai_deposium/blob/66252f53960d6ac7c9cb6c92587dcb4f8ee8a05a/docs/evidence/proofs/proof-14.md" TargetMode="External"/><Relationship Id="rId38" Type="http://schemas.openxmlformats.org/officeDocument/2006/relationships/hyperlink" Target="https://github.com/theseedship/mcp_geoai_deposium/blob/66252f53960d6ac7c9cb6c92587dcb4f8ee8a05a/docs/evidence/proofs/record-08.md" TargetMode="External"/><Relationship Id="rId39" Type="http://schemas.openxmlformats.org/officeDocument/2006/relationships/hyperlink" Target="https://github.com/theseedship/mcp_geoai_deposium/blob/66252f53960d6ac7c9cb6c92587dcb4f8ee8a05a/docs/evidence/proofs/record-09.md" TargetMode="External"/><Relationship Id="rId40" Type="http://schemas.openxmlformats.org/officeDocument/2006/relationships/hyperlink" Target="https://github.com/theseedship/mcp_geoai_deposium/blob/66252f53960d6ac7c9cb6c92587dcb4f8ee8a05a/docs/evidence/proofs/proof-18.md" TargetMode="External"/><Relationship Id="rId41" Type="http://schemas.openxmlformats.org/officeDocument/2006/relationships/hyperlink" Target="https://github.com/theseedship/mcp_geoai_deposium/blob/66252f53960d6ac7c9cb6c92587dcb4f8ee8a05a/docs/evidence/proofs/record-10.md" TargetMode="External"/><Relationship Id="rId42" Type="http://schemas.openxmlformats.org/officeDocument/2006/relationships/hyperlink" Target="https://github.com/theseedship/mcp_geoai_deposium/blob/66252f53960d6ac7c9cb6c92587dcb4f8ee8a05a/docs/evidence/proofs/record-11.md" TargetMode="External"/><Relationship Id="rId43" Type="http://schemas.openxmlformats.org/officeDocument/2006/relationships/hyperlink" Target="https://github.com/theseedship/mcp_geoai_deposium/blob/66252f53960d6ac7c9cb6c92587dcb4f8ee8a05a/docs/evidence/proofs/record-12.md" TargetMode="External"/><Relationship Id="rId44" Type="http://schemas.openxmlformats.org/officeDocument/2006/relationships/hyperlink" Target="https://github.com/theseedship/mcp_geoai_deposium/blob/66252f53960d6ac7c9cb6c92587dcb4f8ee8a05a/docs/evidence/proofs/proof-19.md" TargetMode="External"/><Relationship Id="rId45" Type="http://schemas.openxmlformats.org/officeDocument/2006/relationships/hyperlink" Target="https://github.com/theseedship/mcp_geoai_deposium/blob/66252f53960d6ac7c9cb6c92587dcb4f8ee8a05a/docs/evidence/proofs/proof-17.md" TargetMode="External"/><Relationship Id="rId46" Type="http://schemas.openxmlformats.org/officeDocument/2006/relationships/hyperlink" Target="https://github.com/theseedship/mcp_geoai_deposium/blob/66252f53960d6ac7c9cb6c92587dcb4f8ee8a05a/docs/evidence/proofs/proof-10.md" TargetMode="External"/><Relationship Id="rId47" Type="http://schemas.openxmlformats.org/officeDocument/2006/relationships/hyperlink" Target="https://github.com/theseedship/mcp_geoai_deposium/blob/66252f53960d6ac7c9cb6c92587dcb4f8ee8a05a/docs/evidence/proofs/proof-16.md" TargetMode="External"/><Relationship Id="rId48" Type="http://schemas.openxmlformats.org/officeDocument/2006/relationships/hyperlink" Target="https://ec.europa.eu/info/funding-tenders/opportunities/docs/2021-2027/horizon/wp-call/2026-2027/wp-15-general-annexes_horizon-2026-2027_en.pdf#page=15" TargetMode="External"/><Relationship Id="rId49" Type="http://schemas.openxmlformats.org/officeDocument/2006/relationships/hyperlink" Target="https://github.com/theseedship/mcp_geoai_deposium/blob/66252f53960d6ac7c9cb6c92587dcb4f8ee8a05a/docs/evidence/proofs/proof-13.md" TargetMode="External"/><Relationship Id="rId50" Type="http://schemas.openxmlformats.org/officeDocument/2006/relationships/hyperlink" Target="https://github.com/theseedship/mcp_geoai_deposium/blob/66252f53960d6ac7c9cb6c92587dcb4f8ee8a05a/docs/evidence/proofs/proof-24.md" TargetMode="External"/><Relationship Id="rId5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FIERCE — Public Technical KPI Annex for DEPOSIUM GeoAI</dc:title>
  <dc:subject>Public technical evidence annex with separately attributed KPI 1 reporting</dc:subject>
  <dc:creator>DEPOSIUM / The Seed Ship</dc:creator>
  <cp:keywords/>
  <dc:description>generated by python-docx</dc:description>
  <cp:lastModifiedBy>DEPOSIUM / The Seed Ship</cp:lastModifiedBy>
  <cp:revision>1</cp:revision>
  <dcterms:created xsi:type="dcterms:W3CDTF">2026-10-28T19:47:58Z</dcterms:created>
  <dcterms:modified xsi:type="dcterms:W3CDTF">2026-10-29T23:52:19Z</dcterms:modified>
  <cp:category/>
</cp:coreProperties>
</file>