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11" w:rsidRDefault="00742A11" w:rsidP="00742A11">
      <w:pPr>
        <w:widowControl w:val="0"/>
        <w:ind w:right="-30"/>
        <w:jc w:val="right"/>
        <w:outlineLvl w:val="0"/>
        <w:rPr>
          <w:sz w:val="28"/>
          <w:szCs w:val="28"/>
          <w:lang w:val="ro-RO"/>
        </w:rPr>
      </w:pPr>
      <w:r w:rsidRPr="00742A11">
        <w:rPr>
          <w:sz w:val="28"/>
          <w:szCs w:val="28"/>
          <w:lang w:val="ro-RO"/>
        </w:rPr>
        <w:t>Anexa 6</w:t>
      </w:r>
    </w:p>
    <w:p w:rsidR="00742A11" w:rsidRPr="00742A11" w:rsidRDefault="00742A11" w:rsidP="00742A11">
      <w:pPr>
        <w:widowControl w:val="0"/>
        <w:ind w:right="-30"/>
        <w:jc w:val="right"/>
        <w:outlineLvl w:val="0"/>
        <w:rPr>
          <w:sz w:val="28"/>
          <w:szCs w:val="28"/>
          <w:lang w:val="ro-RO"/>
        </w:rPr>
      </w:pPr>
    </w:p>
    <w:p w:rsidR="00742A11" w:rsidRPr="00EE21D3" w:rsidRDefault="00742A11" w:rsidP="00742A11">
      <w:pPr>
        <w:jc w:val="center"/>
        <w:rPr>
          <w:b/>
          <w:sz w:val="28"/>
          <w:szCs w:val="28"/>
          <w:lang w:val="ro-RO"/>
        </w:rPr>
      </w:pPr>
      <w:r w:rsidRPr="00EE21D3">
        <w:rPr>
          <w:b/>
          <w:sz w:val="28"/>
          <w:szCs w:val="28"/>
          <w:lang w:val="ro-RO"/>
        </w:rPr>
        <w:t>Înregistrările contabile de bază privind tra</w:t>
      </w:r>
      <w:r>
        <w:rPr>
          <w:b/>
          <w:sz w:val="28"/>
          <w:szCs w:val="28"/>
          <w:lang w:val="ro-RO"/>
        </w:rPr>
        <w:t xml:space="preserve">nspunerea soldurilor conturilor </w:t>
      </w:r>
      <w:r w:rsidRPr="00EE21D3">
        <w:rPr>
          <w:b/>
          <w:sz w:val="28"/>
          <w:szCs w:val="28"/>
          <w:lang w:val="ro-RO"/>
        </w:rPr>
        <w:t>contabile aplicate pînă la data tranziţiei la noile SNC în conturile contabile noi *</w:t>
      </w:r>
    </w:p>
    <w:p w:rsidR="00742A11" w:rsidRPr="00EE21D3" w:rsidRDefault="00742A11" w:rsidP="00742A11">
      <w:pPr>
        <w:jc w:val="center"/>
        <w:rPr>
          <w:sz w:val="28"/>
          <w:szCs w:val="28"/>
          <w:lang w:val="ro-RO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6120"/>
        <w:gridCol w:w="1558"/>
        <w:gridCol w:w="1558"/>
      </w:tblGrid>
      <w:tr w:rsidR="00742A11" w:rsidRPr="00EE21D3" w:rsidTr="0012715E">
        <w:trPr>
          <w:trHeight w:val="278"/>
        </w:trPr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b/>
                <w:sz w:val="28"/>
                <w:szCs w:val="28"/>
                <w:lang w:val="ro-RO"/>
              </w:rPr>
              <w:t>Nr.</w:t>
            </w:r>
          </w:p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b/>
                <w:sz w:val="28"/>
                <w:szCs w:val="28"/>
                <w:lang w:val="ro-RO"/>
              </w:rPr>
              <w:t>crt.</w:t>
            </w:r>
          </w:p>
        </w:tc>
        <w:tc>
          <w:tcPr>
            <w:tcW w:w="6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b/>
                <w:sz w:val="28"/>
                <w:szCs w:val="28"/>
                <w:lang w:val="ro-RO"/>
              </w:rPr>
              <w:t>Conţinutul operaţiunilor</w:t>
            </w:r>
          </w:p>
        </w:tc>
        <w:tc>
          <w:tcPr>
            <w:tcW w:w="3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b/>
                <w:sz w:val="28"/>
                <w:szCs w:val="28"/>
                <w:lang w:val="ro-RO"/>
              </w:rPr>
              <w:t>Corespondenţa conturilor</w:t>
            </w:r>
          </w:p>
        </w:tc>
      </w:tr>
      <w:tr w:rsidR="00742A11" w:rsidRPr="00EE21D3" w:rsidTr="0012715E">
        <w:trPr>
          <w:trHeight w:val="277"/>
        </w:trPr>
        <w:tc>
          <w:tcPr>
            <w:tcW w:w="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6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b/>
                <w:sz w:val="28"/>
                <w:szCs w:val="28"/>
                <w:lang w:val="ro-RO"/>
              </w:rPr>
              <w:t>debit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b/>
                <w:sz w:val="28"/>
                <w:szCs w:val="28"/>
                <w:lang w:val="ro-RO"/>
              </w:rPr>
              <w:t>credit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 xml:space="preserve">Transpunerea soldurilor imobilizărilor necorporale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111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imobilizărilor necorporale în curs de execuţie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112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 xml:space="preserve">Transpunerea soldurilor amortizării imobilizărilor necorporale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113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113</w:t>
            </w:r>
          </w:p>
        </w:tc>
      </w:tr>
      <w:tr w:rsidR="00742A11" w:rsidRPr="00742A11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Notă.</w:t>
            </w:r>
            <w:r w:rsidRPr="00EE21D3">
              <w:rPr>
                <w:sz w:val="28"/>
                <w:szCs w:val="28"/>
                <w:lang w:val="ro-RO"/>
              </w:rPr>
              <w:t xml:space="preserve"> Înregistrările contabile pentru operaţiunile 2, 3 se întocmesc pentru elementele contabile, cu excepţia celor derecunoscute (anexa 3).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imobilizărilor corporale în curs de execuţie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121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terenurilor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122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6.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mijloacelor fixe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123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7.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amortizării mijloacelor fixe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124</w:t>
            </w:r>
          </w:p>
        </w:tc>
      </w:tr>
      <w:tr w:rsidR="00742A11" w:rsidRPr="00742A11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EE21D3">
              <w:rPr>
                <w:sz w:val="28"/>
                <w:szCs w:val="28"/>
                <w:lang w:val="ro-RO"/>
              </w:rPr>
              <w:t>Înregistrările contabile pentru operaţiunile 4 – 7 se întocmesc pentru elementele contabile, cu excepţia celor reclasificate (anexa 4).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resurselor minerale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125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9.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amortizării resurselor minerale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126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10.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investiţiilor financiare pe termen lung în părţi neafiliate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141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11.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investiţiilor financiare pe termen lung în părţi afiliate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12.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Decontarea soldurilor majorării valorii investiţiilor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141, 142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Decontarea soldurilor diminuării valorii investiţiilor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141, 142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14.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 xml:space="preserve">creanţelor pe termen lung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161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15.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activelor amînate privind impozitul pe venit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172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135</w:t>
            </w:r>
          </w:p>
        </w:tc>
      </w:tr>
      <w:tr w:rsidR="00742A11" w:rsidRPr="00EE21D3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EE21D3">
              <w:rPr>
                <w:sz w:val="28"/>
                <w:szCs w:val="28"/>
                <w:lang w:val="ro-RO"/>
              </w:rPr>
              <w:t>Înregistrarea contabilă pentru operaţiunea 15 se întocmeşte, în cazul dacă conform politicilor contabile ale entităţii după tranziţia la noile SNC va fi aplicată metoda impozitului pe venit amînat.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16.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avansurilor acordate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162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136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17.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cheltuielilor anticipate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171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141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18.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altor active imobilizate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172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142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lastRenderedPageBreak/>
              <w:t>19.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de materiale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20.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activelor biologice circulante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212</w:t>
            </w:r>
          </w:p>
        </w:tc>
      </w:tr>
      <w:tr w:rsidR="00742A11" w:rsidRPr="00742A11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EE21D3">
              <w:rPr>
                <w:sz w:val="28"/>
                <w:szCs w:val="28"/>
                <w:lang w:val="ro-RO"/>
              </w:rPr>
              <w:t xml:space="preserve">Înregistrarea contabilă pentru operaţiunea 20 se întocmeşte pentru animalele imature, cu excepţia celor reclasificate (anexa 4). 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obiectelor de mică valoare şi scurtă durată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213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uzurii obiectelor de mică valoare şi scurtă durată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214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23.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producţiei în curs de execuţie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215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24.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produselor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216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25.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mărfurilor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217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26.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creanţelor comerciale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27.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corecţiilor (provizioanelor) privind creanţele compromise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222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28.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creanţelor părţilor afiliate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29.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avansurilor acordate curente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30.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creanţelor bugetului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225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31.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creanţelor preliminate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232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226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32.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creanţelor personalului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227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33.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creanţelor privind veniturile din utilizarea de către terţi a activelor entităţii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231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228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34.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creanţelor curente privind asigurările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233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229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35.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altor creanţe curente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234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229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36.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investiţiilor financiare curente în părţi neafiliate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251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231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37.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investiţiilor financiare curente în părţi afiliate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252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232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38.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 xml:space="preserve">Transpunerea soldurilor aferente ajustării investiţiilor financiare curente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233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251, 252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39.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de numerar în casierie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241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241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40.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de numerar la conturi curente în monedă naţională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242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41.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de numerar la conturi curente în valută străină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243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243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de numerar la alte conturi bancare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244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244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43.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transferuri</w:t>
            </w:r>
            <w:r>
              <w:rPr>
                <w:sz w:val="28"/>
                <w:szCs w:val="28"/>
                <w:lang w:val="ro-RO"/>
              </w:rPr>
              <w:t>lor</w:t>
            </w:r>
            <w:r w:rsidRPr="00EE21D3">
              <w:rPr>
                <w:sz w:val="28"/>
                <w:szCs w:val="28"/>
                <w:lang w:val="ro-RO"/>
              </w:rPr>
              <w:t xml:space="preserve"> de numerar în expediţie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245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245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44.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de</w:t>
            </w:r>
            <w:r w:rsidRPr="00EE21D3">
              <w:rPr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documente băneşti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246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246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45.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cheltuielilor anticipate curente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261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251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46.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Transpunerea soldurilor altor active circulante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262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252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47.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capitalului social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311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lastRenderedPageBreak/>
              <w:t>48.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capitalului suplimentar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312</w:t>
            </w:r>
          </w:p>
        </w:tc>
      </w:tr>
      <w:tr w:rsidR="00742A11" w:rsidRPr="00742A11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Notă.</w:t>
            </w:r>
            <w:r w:rsidRPr="00EE21D3">
              <w:rPr>
                <w:sz w:val="28"/>
                <w:szCs w:val="28"/>
                <w:lang w:val="ro-RO"/>
              </w:rPr>
              <w:t xml:space="preserve"> Înregistrarea contabilă pentru operaţiunea 48 se întocmeşte cu excluderea diferenţelor de curs derecunoscute (anexa 3).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49.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capitalului nevărsat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313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313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50.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capitalului retras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314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51.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capitalului de rezervă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321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52.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rezervelor statutare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322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altor rezerve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323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</w:t>
            </w:r>
            <w:r>
              <w:rPr>
                <w:sz w:val="28"/>
                <w:szCs w:val="28"/>
                <w:lang w:val="ro-RO"/>
              </w:rPr>
              <w:t>4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profitului nerepartizat al anilor precedenţi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332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332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55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pierderii neacoperite a anilor precedenţi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332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332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</w:t>
            </w:r>
            <w:r>
              <w:rPr>
                <w:sz w:val="28"/>
                <w:szCs w:val="28"/>
                <w:lang w:val="ro-RO"/>
              </w:rPr>
              <w:t>6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subvenţiilor entităţilor de stat, municipale şi alte entităţi similare, inclusiv instiuţiile publice cu autonomie financiară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342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</w:t>
            </w:r>
            <w:r>
              <w:rPr>
                <w:sz w:val="28"/>
                <w:szCs w:val="28"/>
                <w:lang w:val="ro-RO"/>
              </w:rPr>
              <w:t>7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fondurilor organizaţiilor necomerciale şi altor entităţi similare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342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341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58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creditelor bancare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411, 412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411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59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împrumuturilor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413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412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6</w:t>
            </w:r>
            <w:r>
              <w:rPr>
                <w:sz w:val="28"/>
                <w:szCs w:val="28"/>
                <w:lang w:val="ro-RO"/>
              </w:rPr>
              <w:t>0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Transpunerea soldurilor 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altor datorii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414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412</w:t>
            </w:r>
            <w:r>
              <w:rPr>
                <w:b/>
                <w:i/>
                <w:sz w:val="28"/>
                <w:szCs w:val="28"/>
                <w:lang w:val="ro-RO"/>
              </w:rPr>
              <w:t>, 428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6</w:t>
            </w:r>
            <w:r>
              <w:rPr>
                <w:sz w:val="28"/>
                <w:szCs w:val="28"/>
                <w:lang w:val="ro-RO"/>
              </w:rPr>
              <w:t>1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pe termen lung privind leasingul financiar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413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6</w:t>
            </w:r>
            <w:r>
              <w:rPr>
                <w:sz w:val="28"/>
                <w:szCs w:val="28"/>
                <w:lang w:val="ro-RO"/>
              </w:rPr>
              <w:t>2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veniturilor anticipate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6</w:t>
            </w:r>
            <w:r>
              <w:rPr>
                <w:sz w:val="28"/>
                <w:szCs w:val="28"/>
                <w:lang w:val="ro-RO"/>
              </w:rPr>
              <w:t>3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finanţărilor şi încasărilor cu destinaţie specială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425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6</w:t>
            </w:r>
            <w:r>
              <w:rPr>
                <w:sz w:val="28"/>
                <w:szCs w:val="28"/>
                <w:lang w:val="ro-RO"/>
              </w:rPr>
              <w:t>4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datoriilor pe termen lung privind bunurile primite în gestiune economică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427</w:t>
            </w:r>
          </w:p>
        </w:tc>
      </w:tr>
      <w:tr w:rsidR="00742A11" w:rsidRPr="00742A11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EE21D3">
              <w:rPr>
                <w:sz w:val="28"/>
                <w:szCs w:val="28"/>
                <w:lang w:val="ro-RO"/>
              </w:rPr>
              <w:t>Înregistrările contabile pentru operaţiunile 6</w:t>
            </w:r>
            <w:r>
              <w:rPr>
                <w:sz w:val="28"/>
                <w:szCs w:val="28"/>
                <w:lang w:val="ro-RO"/>
              </w:rPr>
              <w:t>2</w:t>
            </w:r>
            <w:r w:rsidRPr="00EE21D3">
              <w:rPr>
                <w:sz w:val="28"/>
                <w:szCs w:val="28"/>
                <w:lang w:val="ro-RO"/>
              </w:rPr>
              <w:t xml:space="preserve"> – 6</w:t>
            </w:r>
            <w:r>
              <w:rPr>
                <w:sz w:val="28"/>
                <w:szCs w:val="28"/>
                <w:lang w:val="ro-RO"/>
              </w:rPr>
              <w:t>4</w:t>
            </w:r>
            <w:r w:rsidRPr="00EE21D3">
              <w:rPr>
                <w:b/>
                <w:i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sz w:val="28"/>
                <w:szCs w:val="28"/>
                <w:lang w:val="ro-RO"/>
              </w:rPr>
              <w:t>se întocmesc pentru elementele contabile cu excepţia celor reclasificate (anexa 4).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65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avansurilor primite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6</w:t>
            </w:r>
            <w:r>
              <w:rPr>
                <w:sz w:val="28"/>
                <w:szCs w:val="28"/>
                <w:lang w:val="ro-RO"/>
              </w:rPr>
              <w:t>6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amînate privind impozitul pe venit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428</w:t>
            </w:r>
          </w:p>
        </w:tc>
      </w:tr>
      <w:tr w:rsidR="00742A11" w:rsidRPr="00EE21D3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EE21D3">
              <w:rPr>
                <w:sz w:val="28"/>
                <w:szCs w:val="28"/>
                <w:lang w:val="ro-RO"/>
              </w:rPr>
              <w:t>Înregistrarea contabilă pentru operaţiunea 6</w:t>
            </w:r>
            <w:r>
              <w:rPr>
                <w:sz w:val="28"/>
                <w:szCs w:val="28"/>
                <w:lang w:val="ro-RO"/>
              </w:rPr>
              <w:t>6</w:t>
            </w:r>
            <w:r w:rsidRPr="00EE21D3">
              <w:rPr>
                <w:sz w:val="28"/>
                <w:szCs w:val="28"/>
                <w:lang w:val="ro-RO"/>
              </w:rPr>
              <w:t xml:space="preserve"> se întocmeşte în cazul dacă conform politicilor contabile ale entităţii, după tranziţia la noile SNC va fi aplicată metoda impozitului pe venit amînat.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67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comerciale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68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părţilor afiliate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69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datoriilor pe termen lung privind bunurile primite în gestiune economică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426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427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70.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 altor datorii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426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>
              <w:rPr>
                <w:b/>
                <w:i/>
                <w:sz w:val="28"/>
                <w:szCs w:val="28"/>
                <w:lang w:val="ro-RO"/>
              </w:rPr>
              <w:t>428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7</w:t>
            </w:r>
            <w:r>
              <w:rPr>
                <w:sz w:val="28"/>
                <w:szCs w:val="28"/>
                <w:lang w:val="ro-RO"/>
              </w:rPr>
              <w:t>1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 xml:space="preserve">Transpunerea soldurilor creditelor bancare pe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lastRenderedPageBreak/>
              <w:t>termen scurt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lastRenderedPageBreak/>
              <w:t>511, 512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511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lastRenderedPageBreak/>
              <w:t>7</w:t>
            </w:r>
            <w:r>
              <w:rPr>
                <w:sz w:val="28"/>
                <w:szCs w:val="28"/>
                <w:lang w:val="ro-RO"/>
              </w:rPr>
              <w:t>2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împrumuturilor pe termen scurt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513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512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7</w:t>
            </w:r>
            <w:r>
              <w:rPr>
                <w:sz w:val="28"/>
                <w:szCs w:val="28"/>
                <w:lang w:val="ro-RO"/>
              </w:rPr>
              <w:t>3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cotei curente a datoriilor pe termen lung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514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521, 541, 544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7</w:t>
            </w:r>
            <w:r>
              <w:rPr>
                <w:sz w:val="28"/>
                <w:szCs w:val="28"/>
                <w:lang w:val="ro-RO"/>
              </w:rPr>
              <w:t>4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veniturilor anticipate curente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515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535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7</w:t>
            </w:r>
            <w:r>
              <w:rPr>
                <w:sz w:val="28"/>
                <w:szCs w:val="28"/>
                <w:lang w:val="ro-RO"/>
              </w:rPr>
              <w:t>5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altor datorii financiare pe termen scurt, inclusiv finanţări şi încasări cu destinaţie specială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537, 544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7</w:t>
            </w:r>
            <w:r>
              <w:rPr>
                <w:sz w:val="28"/>
                <w:szCs w:val="28"/>
                <w:lang w:val="ro-RO"/>
              </w:rPr>
              <w:t>6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comerciale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521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7</w:t>
            </w:r>
            <w:r>
              <w:rPr>
                <w:sz w:val="28"/>
                <w:szCs w:val="28"/>
                <w:lang w:val="ro-RO"/>
              </w:rPr>
              <w:t>7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faţă de părţile afiliate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522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522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78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avansurilor primite curente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523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523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79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faţă de personal privind retribuirea muncii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0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faţă de personal privind alte operaţii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1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privind asigurările sociale şi medicale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2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faţă de buget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3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preliminate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541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4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privind plăţile extrabugetare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544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5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faţă de proprietari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536</w:t>
            </w:r>
          </w:p>
        </w:tc>
      </w:tr>
      <w:tr w:rsidR="00742A11" w:rsidRPr="00742A11" w:rsidTr="0012715E">
        <w:tc>
          <w:tcPr>
            <w:tcW w:w="98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both"/>
              <w:rPr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 xml:space="preserve">Notă. </w:t>
            </w:r>
            <w:r w:rsidRPr="00EE21D3">
              <w:rPr>
                <w:sz w:val="28"/>
                <w:szCs w:val="28"/>
                <w:lang w:val="ro-RO"/>
              </w:rPr>
              <w:t>Înregistrarea contabilă pentru operaţiunea 8</w:t>
            </w:r>
            <w:r>
              <w:rPr>
                <w:sz w:val="28"/>
                <w:szCs w:val="28"/>
                <w:lang w:val="ro-RO"/>
              </w:rPr>
              <w:t>5</w:t>
            </w:r>
            <w:r w:rsidRPr="00EE21D3">
              <w:rPr>
                <w:sz w:val="28"/>
                <w:szCs w:val="28"/>
                <w:lang w:val="ro-RO"/>
              </w:rPr>
              <w:t xml:space="preserve"> se întocmeşte pentru acţiunile şi părţile sociale, cu excepţia celor reclasificate (anexa 4).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6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pe termen lung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privind bunurile primite în gestiune economică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427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8</w:t>
            </w:r>
            <w:r>
              <w:rPr>
                <w:sz w:val="28"/>
                <w:szCs w:val="28"/>
                <w:lang w:val="ro-RO"/>
              </w:rPr>
              <w:t>7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curente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privind bunurile primite în gestiune economică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543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88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provizioanelor curente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538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>
              <w:rPr>
                <w:sz w:val="28"/>
                <w:szCs w:val="28"/>
                <w:lang w:val="ro-RO"/>
              </w:rPr>
              <w:t>89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curente privind bunurile primite în gestiune economică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543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9</w:t>
            </w:r>
            <w:r>
              <w:rPr>
                <w:sz w:val="28"/>
                <w:szCs w:val="28"/>
                <w:lang w:val="ro-RO"/>
              </w:rPr>
              <w:t>0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 comerciale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521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9</w:t>
            </w:r>
            <w:r>
              <w:rPr>
                <w:sz w:val="28"/>
                <w:szCs w:val="28"/>
                <w:lang w:val="ro-RO"/>
              </w:rPr>
              <w:t>1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datoriilor</w:t>
            </w:r>
            <w:r w:rsidRPr="00EE21D3">
              <w:rPr>
                <w:rFonts w:ascii="Times New Roman" w:hAnsi="Times New Roman" w:cs="Times New Roman"/>
                <w:b/>
                <w:sz w:val="28"/>
                <w:szCs w:val="28"/>
                <w:lang w:val="ro-RO"/>
              </w:rPr>
              <w:t xml:space="preserve"> </w:t>
            </w: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privind asigurarea bunurilor şi a persoanelor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533, 539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542</w:t>
            </w:r>
          </w:p>
        </w:tc>
      </w:tr>
      <w:tr w:rsidR="00742A11" w:rsidRPr="00EE21D3" w:rsidTr="0012715E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9</w:t>
            </w:r>
            <w:r>
              <w:rPr>
                <w:sz w:val="28"/>
                <w:szCs w:val="28"/>
                <w:lang w:val="ro-RO"/>
              </w:rPr>
              <w:t>2</w:t>
            </w:r>
            <w:r w:rsidRPr="00EE21D3">
              <w:rPr>
                <w:sz w:val="28"/>
                <w:szCs w:val="28"/>
                <w:lang w:val="ro-RO"/>
              </w:rPr>
              <w:t>.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A11" w:rsidRPr="00EE21D3" w:rsidRDefault="00742A11" w:rsidP="0012715E">
            <w:pPr>
              <w:pStyle w:val="HTMLPreformatted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 w:rsidRPr="00EE21D3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Transpunerea soldurilor altor datorii curente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sz w:val="28"/>
                <w:szCs w:val="28"/>
                <w:lang w:val="ro-RO"/>
              </w:rPr>
            </w:pPr>
            <w:r w:rsidRPr="00EE21D3">
              <w:rPr>
                <w:sz w:val="28"/>
                <w:szCs w:val="28"/>
                <w:lang w:val="ro-RO"/>
              </w:rPr>
              <w:t>539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A11" w:rsidRPr="00EE21D3" w:rsidRDefault="00742A11" w:rsidP="0012715E">
            <w:pPr>
              <w:jc w:val="center"/>
              <w:rPr>
                <w:b/>
                <w:i/>
                <w:sz w:val="28"/>
                <w:szCs w:val="28"/>
                <w:lang w:val="ro-RO"/>
              </w:rPr>
            </w:pPr>
            <w:r w:rsidRPr="00EE21D3">
              <w:rPr>
                <w:b/>
                <w:i/>
                <w:sz w:val="28"/>
                <w:szCs w:val="28"/>
                <w:lang w:val="ro-RO"/>
              </w:rPr>
              <w:t>544</w:t>
            </w:r>
          </w:p>
        </w:tc>
      </w:tr>
    </w:tbl>
    <w:p w:rsidR="00742A11" w:rsidRDefault="00742A11" w:rsidP="00742A11">
      <w:pPr>
        <w:widowControl w:val="0"/>
        <w:tabs>
          <w:tab w:val="left" w:pos="360"/>
        </w:tabs>
        <w:ind w:right="-30" w:firstLine="720"/>
        <w:jc w:val="both"/>
        <w:rPr>
          <w:lang w:val="ro-RO"/>
        </w:rPr>
      </w:pPr>
      <w:r w:rsidRPr="00B32023">
        <w:rPr>
          <w:lang w:val="ro-RO"/>
        </w:rPr>
        <w:t>*</w:t>
      </w:r>
      <w:r>
        <w:rPr>
          <w:lang w:val="ro-RO"/>
        </w:rPr>
        <w:t>C</w:t>
      </w:r>
      <w:r w:rsidRPr="00B32023">
        <w:rPr>
          <w:lang w:val="ro-RO"/>
        </w:rPr>
        <w:t>odurile conturilor contabile evidenţiate cu italic corespund Planul</w:t>
      </w:r>
      <w:r>
        <w:rPr>
          <w:lang w:val="ro-RO"/>
        </w:rPr>
        <w:t>ui general de conturi contabile. E</w:t>
      </w:r>
      <w:r w:rsidRPr="00B32023">
        <w:rPr>
          <w:lang w:val="ro-RO"/>
        </w:rPr>
        <w:t xml:space="preserve">ste utilizată terminologia din noile SNC, Planul general de conturi contabile şi alte reglementări contabile. </w:t>
      </w:r>
    </w:p>
    <w:p w:rsidR="00742A11" w:rsidRPr="009173A6" w:rsidRDefault="00742A11" w:rsidP="00742A11">
      <w:pPr>
        <w:tabs>
          <w:tab w:val="left" w:pos="360"/>
        </w:tabs>
        <w:ind w:firstLine="720"/>
        <w:rPr>
          <w:lang w:val="ro-RO"/>
        </w:rPr>
      </w:pPr>
    </w:p>
    <w:p w:rsidR="00742A11" w:rsidRPr="00021EDF" w:rsidRDefault="00742A11" w:rsidP="00742A11">
      <w:pPr>
        <w:jc w:val="right"/>
        <w:outlineLvl w:val="0"/>
        <w:rPr>
          <w:lang w:val="ro-RO"/>
        </w:rPr>
      </w:pPr>
    </w:p>
    <w:p w:rsidR="00742A11" w:rsidRDefault="00742A11" w:rsidP="00742A11">
      <w:pPr>
        <w:pStyle w:val="ListParagraph"/>
        <w:tabs>
          <w:tab w:val="left" w:pos="990"/>
        </w:tabs>
        <w:jc w:val="right"/>
        <w:rPr>
          <w:lang w:val="ro-RO"/>
        </w:rPr>
      </w:pPr>
    </w:p>
    <w:p w:rsidR="00742A11" w:rsidRDefault="00742A11" w:rsidP="00742A11">
      <w:pPr>
        <w:pStyle w:val="ListParagraph"/>
        <w:tabs>
          <w:tab w:val="left" w:pos="990"/>
        </w:tabs>
        <w:jc w:val="right"/>
        <w:rPr>
          <w:lang w:val="ro-RO"/>
        </w:rPr>
      </w:pPr>
    </w:p>
    <w:p w:rsidR="00742A11" w:rsidRDefault="00742A11" w:rsidP="00742A11">
      <w:pPr>
        <w:pStyle w:val="ListParagraph"/>
        <w:tabs>
          <w:tab w:val="left" w:pos="990"/>
        </w:tabs>
        <w:jc w:val="right"/>
        <w:rPr>
          <w:lang w:val="ro-RO"/>
        </w:rPr>
      </w:pPr>
    </w:p>
    <w:p w:rsidR="00742A11" w:rsidRDefault="00742A11" w:rsidP="00742A11">
      <w:pPr>
        <w:pStyle w:val="ListParagraph"/>
        <w:tabs>
          <w:tab w:val="left" w:pos="990"/>
        </w:tabs>
        <w:jc w:val="right"/>
        <w:rPr>
          <w:lang w:val="ro-RO"/>
        </w:rPr>
      </w:pPr>
    </w:p>
    <w:p w:rsidR="00742A11" w:rsidRDefault="00742A11" w:rsidP="00742A11">
      <w:pPr>
        <w:pStyle w:val="ListParagraph"/>
        <w:tabs>
          <w:tab w:val="left" w:pos="990"/>
        </w:tabs>
        <w:jc w:val="right"/>
        <w:rPr>
          <w:lang w:val="ro-RO"/>
        </w:rPr>
      </w:pPr>
    </w:p>
    <w:p w:rsidR="00FB2048" w:rsidRPr="00742A11" w:rsidRDefault="00FB2048">
      <w:pPr>
        <w:rPr>
          <w:lang w:val="ro-RO"/>
        </w:rPr>
      </w:pPr>
    </w:p>
    <w:sectPr w:rsidR="00FB2048" w:rsidRPr="00742A11" w:rsidSect="00742A1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2A11"/>
    <w:rsid w:val="00742A11"/>
    <w:rsid w:val="00FB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11"/>
    <w:pPr>
      <w:ind w:left="720"/>
      <w:contextualSpacing/>
    </w:pPr>
  </w:style>
  <w:style w:type="paragraph" w:styleId="HTMLPreformatted">
    <w:name w:val="HTML Preformatted"/>
    <w:aliases w:val="Знак"/>
    <w:basedOn w:val="Normal"/>
    <w:link w:val="HTMLPreformattedChar"/>
    <w:rsid w:val="00742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aliases w:val="Знак Char"/>
    <w:basedOn w:val="DefaultParagraphFont"/>
    <w:link w:val="HTMLPreformatted"/>
    <w:rsid w:val="00742A1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1305</Words>
  <Characters>7439</Characters>
  <Application>Microsoft Office Word</Application>
  <DocSecurity>0</DocSecurity>
  <Lines>61</Lines>
  <Paragraphs>17</Paragraphs>
  <ScaleCrop>false</ScaleCrop>
  <Company>Home</Company>
  <LinksUpToDate>false</LinksUpToDate>
  <CharactersWithSpaces>8727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AB. Bitchin</dc:creator>
  <cp:keywords/>
  <dc:description/>
  <cp:lastModifiedBy>Alina AB. Bitchin</cp:lastModifiedBy>
  <cp:revision>1</cp:revision>
  <dcterms:created xsi:type="dcterms:W3CDTF">2013-12-14T06:46:00Z</dcterms:created>
  <dcterms:modified xsi:type="dcterms:W3CDTF">2013-12-14T06:46:00Z</dcterms:modified>
</cp:coreProperties>
</file>