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Informe de seguridad y calidad en el desarrollo de software</w:t>
      </w:r>
    </w:p>
    <w:p>
      <w:pPr>
        <w:pStyle w:val="Subtitle"/>
      </w:pPr>
      <w:r>
        <w:rPr/>
        <w:t xml:space="preserve">Sistema de Gestión Atlas</w:t>
      </w:r>
    </w:p>
    <w:p>
      <w:r>
        <w:rPr/>
        <w:t xml:space="preserve">ISY1102 - Seguridad y calidad en el desarrollo de software</w:t>
      </w:r>
    </w:p>
    <w:p>
      <w:r>
        <w:rPr/>
        <w:t xml:space="preserve">Sección: XX</w:t>
      </w:r>
    </w:p>
    <w:p>
      <w:r>
        <w:rPr/>
        <w:t xml:space="preserve">Integrantes: Equipo Atlas</w:t>
      </w:r>
    </w:p>
    <w:p>
      <w:r>
        <w:rPr/>
        <w:t xml:space="preserve">Fecha de elaboración: 23 de octubre de 2026</w:t>
      </w:r>
    </w:p>
    <w:p>
      <w:r>
        <w:br w:type="page"/>
      </w:r>
    </w:p>
    <w:p>
      <w:pPr>
        <w:pStyle w:val="Heading1"/>
      </w:pPr>
      <w:r>
        <w:rPr/>
        <w:t xml:space="preserve">Índice</w:t>
      </w:r>
    </w:p>
    <w:p>
      <w:r>
        <w:rPr/>
        <w:t xml:space="preserve">Este documento se organiza en cinco secciones: introducción; criterios de calidad; plan de pruebas; diseño de casos de prueba; y ejecución de pruebas con criticidad de incidentes.</w:t>
      </w:r>
    </w:p>
    <w:p>
      <w:r>
        <w:br w:type="page"/>
      </w:r>
    </w:p>
    <w:p>
      <w:pPr>
        <w:pStyle w:val="Heading1"/>
      </w:pPr>
      <w:r>
        <w:rPr/>
        <w:t xml:space="preserve">1. Introducción</w:t>
      </w:r>
    </w:p>
    <w:p>
      <w:r>
        <w:rPr/>
        <w:t xml:space="preserve">Atlas es un sistema web de gestión empresarial compuesto por un frontend desarrollado con React y Vite, una API REST desarrollada con Express y una base de datos PostgreSQL. Su propósito es permitir que usuarios asociados a una empresa administren clientes, contratos, documentos contractuales, usuarios internos y roles. También incorpora auditoría de acciones, métricas y enlaces públicos protegidos para compartir contratos.</w:t>
      </w:r>
    </w:p>
    <w:p>
      <w:r>
        <w:rPr/>
        <w:t xml:space="preserve">El frontend ofrece las vistas de autenticación, inicio, usuarios, empresas, clientes, contratos y auditoría. El backend expone rutas REST documentadas mediante OpenAPI/Swagger, utiliza JWT para la sesión y ejecuta consultas sobre PostgreSQL. La solución se puede levantar mediante Docker Compose, con servicios separados para PostgreSQL, backend y frontend.</w:t>
      </w:r>
    </w:p>
    <w:p>
      <w:r>
        <w:rPr/>
        <w:t xml:space="preserve">El plan de pruebas es necesario porque el sistema procesa datos personales, información financiera de clientes, documentos de contratos y credenciales. Un defecto puede provocar pérdida de confidencialidad, acceso indebido, datos inconsistentes o interrupción de operaciones. El plan busca verificar los flujos principales, las reglas de autorización por empresa y rol, las validaciones, la integridad de los archivos y los controles de seguridad.</w:t>
      </w:r>
    </w:p>
    <w:p>
      <w:r>
        <w:rPr/>
        <w:t xml:space="preserve">El informe describe los atributos de calidad esperados, la estrategia y herramientas, los casos diseñados, los criterios para aceptar los resultados y la trazabilidad de la ejecución. La ejecución registrada en esta versión distingue entre revisión estática del código y pruebas dinámicas que requieren iniciar el entorno.</w:t>
      </w:r>
    </w:p>
    <w:p>
      <w:pPr>
        <w:pStyle w:val="Heading2"/>
      </w:pPr>
      <w:r>
        <w:rPr/>
        <w:t xml:space="preserve">Alcance</w:t>
      </w:r>
    </w:p>
    <w:p>
      <w:pPr>
        <w:pStyle w:val="ListBullet"/>
      </w:pPr>
      <w:r>
        <w:rPr/>
        <w:t xml:space="preserve">Incluido: login y registro; control de sesión; gestión de usuarios, empresas, clientes y contratos; carga y descarga de documentos; contratos compartidos; auditoría; roles administrador/editor; API y persistencia.</w:t>
      </w:r>
    </w:p>
    <w:p>
      <w:pPr>
        <w:pStyle w:val="ListBullet"/>
      </w:pPr>
      <w:r>
        <w:rPr/>
        <w:t xml:space="preserve">Incluido: validación de formularios con Yup, respuestas HTTP, navegación protegida, configuración Docker y revisión de riesgos de seguridad.</w:t>
      </w:r>
    </w:p>
    <w:p>
      <w:pPr>
        <w:pStyle w:val="ListBullet"/>
      </w:pPr>
      <w:r>
        <w:rPr/>
        <w:t xml:space="preserve">Fuera de alcance: pruebas de carga con infraestructura productiva, pruebas legales de cumplimiento, recuperación ante desastres y revisión de secretos reales.</w:t>
      </w:r>
    </w:p>
    <w:p>
      <w:pPr>
        <w:pStyle w:val="Heading1"/>
      </w:pPr>
      <w:r>
        <w:rPr/>
        <w:t xml:space="preserve">2. Criterios de calidad</w:t>
      </w:r>
    </w:p>
    <w:p>
      <w:r>
        <w:rPr/>
        <w:t xml:space="preserve">Los criterios se derivan de las funcionalidades observables en el repositorio, del esquema PostgreSQL, de las rutas de la API y de la necesidad declarada de proteger información empresarial y personal.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800"/>
        <w:gridCol w:w="4500"/>
        <w:gridCol w:w="2500"/>
      </w:tblGrid>
      <w:tr>
        <w:tc>
          <w:tcPr>
            <w:tcW w:w="1800" w:type="dxa"/>
          </w:tcPr>
          <w:p>
            <w:r>
              <w:rPr>
                <w:b/>
              </w:rPr>
              <w:t xml:space="preserve">Atributo</w:t>
            </w:r>
          </w:p>
        </w:tc>
        <w:tc>
          <w:tcPr>
            <w:tcW w:w="4500" w:type="dxa"/>
          </w:tcPr>
          <w:p>
            <w:r>
              <w:rPr>
                <w:b/>
              </w:rPr>
              <w:t xml:space="preserve">Criterio verificable</w:t>
            </w:r>
          </w:p>
        </w:tc>
        <w:tc>
          <w:tcPr>
            <w:tcW w:w="2500" w:type="dxa"/>
          </w:tcPr>
          <w:p>
            <w:r>
              <w:rPr>
                <w:b/>
              </w:rPr>
              <w:t xml:space="preserve">Riesgo que controla</w:t>
            </w:r>
          </w:p>
        </w:tc>
      </w:tr>
      <w:tr>
        <w:tc>
          <w:tcPr>
            <w:tcW w:w="1800" w:type="dxa"/>
          </w:tcPr>
          <w:p>
            <w:r>
              <w:rPr/>
              <w:t xml:space="preserve">Usabilidad</w:t>
            </w:r>
          </w:p>
        </w:tc>
        <w:tc>
          <w:tcPr>
            <w:tcW w:w="4500" w:type="dxa"/>
          </w:tcPr>
          <w:p>
            <w:r>
              <w:rPr/>
              <w:t xml:space="preserve">Flujos comprensibles, mensajes de validación, navegación protegida y visualización adaptable a escritorio, tablet y móvil.</w:t>
            </w:r>
          </w:p>
        </w:tc>
        <w:tc>
          <w:tcPr>
            <w:tcW w:w="2500" w:type="dxa"/>
          </w:tcPr>
          <w:p>
            <w:r>
              <w:rPr/>
              <w:t xml:space="preserve">Errores de operación y abandono.</w:t>
            </w:r>
          </w:p>
        </w:tc>
      </w:tr>
      <w:tr>
        <w:tc>
          <w:tcPr>
            <w:tcW w:w="1800" w:type="dxa"/>
          </w:tcPr>
          <w:p>
            <w:r>
              <w:rPr/>
              <w:t xml:space="preserve">Rendimiento</w:t>
            </w:r>
          </w:p>
        </w:tc>
        <w:tc>
          <w:tcPr>
            <w:tcW w:w="4500" w:type="dxa"/>
          </w:tcPr>
          <w:p>
            <w:r>
              <w:rPr/>
              <w:t xml:space="preserve">Las consultas y operaciones habituales deben responder sin bloqueos perceptibles; las cargas de documentos deben tener límites y no agotar memoria.</w:t>
            </w:r>
          </w:p>
        </w:tc>
        <w:tc>
          <w:tcPr>
            <w:tcW w:w="2500" w:type="dxa"/>
          </w:tcPr>
          <w:p>
            <w:r>
              <w:rPr/>
              <w:t xml:space="preserve">Degradación y denegación de servicio.</w:t>
            </w:r>
          </w:p>
        </w:tc>
      </w:tr>
      <w:tr>
        <w:tc>
          <w:tcPr>
            <w:tcW w:w="1800" w:type="dxa"/>
          </w:tcPr>
          <w:p>
            <w:r>
              <w:rPr/>
              <w:t xml:space="preserve">Estabilidad</w:t>
            </w:r>
          </w:p>
        </w:tc>
        <w:tc>
          <w:tcPr>
            <w:tcW w:w="4500" w:type="dxa"/>
          </w:tcPr>
          <w:p>
            <w:r>
              <w:rPr/>
              <w:t xml:space="preserve">La API debe iniciar con la base de datos saludable y manejar errores sin cerrar el proceso.</w:t>
            </w:r>
          </w:p>
        </w:tc>
        <w:tc>
          <w:tcPr>
            <w:tcW w:w="2500" w:type="dxa"/>
          </w:tcPr>
          <w:p>
            <w:r>
              <w:rPr/>
              <w:t xml:space="preserve">Indisponibilidad.</w:t>
            </w:r>
          </w:p>
        </w:tc>
      </w:tr>
      <w:tr>
        <w:tc>
          <w:tcPr>
            <w:tcW w:w="1800" w:type="dxa"/>
          </w:tcPr>
          <w:p>
            <w:r>
              <w:rPr/>
              <w:t xml:space="preserve">Confiabilidad</w:t>
            </w:r>
          </w:p>
        </w:tc>
        <w:tc>
          <w:tcPr>
            <w:tcW w:w="4500" w:type="dxa"/>
          </w:tcPr>
          <w:p>
            <w:r>
              <w:rPr/>
              <w:t xml:space="preserve">Crear, editar, listar y eliminar debe conservar relaciones entre empresa, usuario, cliente y contrato.</w:t>
            </w:r>
          </w:p>
        </w:tc>
        <w:tc>
          <w:tcPr>
            <w:tcW w:w="2500" w:type="dxa"/>
          </w:tcPr>
          <w:p>
            <w:r>
              <w:rPr/>
              <w:t xml:space="preserve">Pérdida o corrupción de datos.</w:t>
            </w:r>
          </w:p>
        </w:tc>
      </w:tr>
      <w:tr>
        <w:tc>
          <w:tcPr>
            <w:tcW w:w="1800" w:type="dxa"/>
          </w:tcPr>
          <w:p>
            <w:r>
              <w:rPr/>
              <w:t xml:space="preserve">Mantenibilidad</w:t>
            </w:r>
          </w:p>
        </w:tc>
        <w:tc>
          <w:tcPr>
            <w:tcW w:w="4500" w:type="dxa"/>
          </w:tcPr>
          <w:p>
            <w:r>
              <w:rPr/>
              <w:t xml:space="preserve">Separación por rutas, validaciones, contexto de autenticación y documentación OpenAPI.</w:t>
            </w:r>
          </w:p>
        </w:tc>
        <w:tc>
          <w:tcPr>
            <w:tcW w:w="2500" w:type="dxa"/>
          </w:tcPr>
          <w:p>
            <w:r>
              <w:rPr/>
              <w:t xml:space="preserve">Cambios inseguros y regresiones.</w:t>
            </w:r>
          </w:p>
        </w:tc>
      </w:tr>
      <w:tr>
        <w:tc>
          <w:tcPr>
            <w:tcW w:w="1800" w:type="dxa"/>
          </w:tcPr>
          <w:p>
            <w:r>
              <w:rPr/>
              <w:t xml:space="preserve">Seguridad</w:t>
            </w:r>
          </w:p>
        </w:tc>
        <w:tc>
          <w:tcPr>
            <w:tcW w:w="4500" w:type="dxa"/>
          </w:tcPr>
          <w:p>
            <w:r>
              <w:rPr/>
              <w:t xml:space="preserve">JWT validado, autorización por empresa/rol, contraseñas no expuestas, controles de archivo y auditoría.</w:t>
            </w:r>
          </w:p>
        </w:tc>
        <w:tc>
          <w:tcPr>
            <w:tcW w:w="2500" w:type="dxa"/>
          </w:tcPr>
          <w:p>
            <w:r>
              <w:rPr/>
              <w:t xml:space="preserve">Acceso indebido y fuga de información.</w:t>
            </w:r>
          </w:p>
        </w:tc>
      </w:tr>
    </w:tbl>
    <w:p>
      <w:pPr>
        <w:pStyle w:val="Heading2"/>
      </w:pPr>
      <w:r>
        <w:rPr/>
        <w:t xml:space="preserve">2.1 Seguridad y normativa</w:t>
      </w:r>
    </w:p>
    <w:p>
      <w:r>
        <w:rPr/>
        <w:t xml:space="preserve">El sistema debe aplicar el principio de mínimo privilegio: un usuario solo debe acceder a los recursos de su empresa y las operaciones administrativas deben requerir el rol correspondiente. Las contraseñas deben almacenarse como hash, los tokens deben validarse en cada endpoint protegido y los errores no deben revelar secretos, consultas ni información innecesaria.</w:t>
      </w:r>
    </w:p>
    <w:p>
      <w:r>
        <w:rPr/>
        <w:t xml:space="preserve">Como referencia técnica se consideran OWASP Top 10 para riesgos de aplicaciones web, OWASP ASVS para controles verificables, buenas prácticas de JWT y protección de datos personales aplicable al contexto chileno (Ley 19.628 y políticas internas de la organización). La conformidad legal definitiva requiere revisión del responsable jurídico y no se declara únicamente por la existencia del código.</w:t>
      </w:r>
    </w:p>
    <w:p>
      <w:r>
        <w:rPr/>
        <w:t xml:space="preserve">Hallazgos que deben tratarse antes de producción: el README identifica la API como intencionalmente vulnerable; existen valores por defecto inseguros para JWT_SECRET; el archivo .env forma parte del entorno del proyecto y contiene un secreto; y la carga de archivos debe someterse a validación de tipo, tamaño, contenido y nombre. Estos puntos se convierten en pruebas de seguridad y criterios de salida.</w:t>
      </w:r>
    </w:p>
    <w:p>
      <w:pPr>
        <w:pStyle w:val="Heading1"/>
      </w:pPr>
      <w:r>
        <w:rPr/>
        <w:t xml:space="preserve">3. Plan de pruebas</w:t>
      </w:r>
    </w:p>
    <w:p>
      <w:pPr>
        <w:pStyle w:val="Heading2"/>
      </w:pPr>
      <w:r>
        <w:rPr/>
        <w:t xml:space="preserve">3.1 Estrategia de pruebas</w:t>
      </w:r>
    </w:p>
    <w:p>
      <w:r>
        <w:rPr/>
        <w:t xml:space="preserve">Se utilizará un enfoque mixto. La revisión estática y las pruebas de lint/build permiten detectar problemas tempranos en frontend, configuración y estructura. Las pruebas dinámicas se ejecutan con Docker Compose y validan API, base de datos y navegador. Las pruebas manuales cubren usabilidad, autorización y evidencias visuales; las solicitudes repetibles pueden automatizarse con Postman, Newman o scripts de integración.</w:t>
      </w:r>
    </w:p>
    <w:p>
      <w:r>
        <w:rPr/>
        <w:t xml:space="preserve">Etapas: (1) preparación del ambiente y datos; (2) smoke test de disponibilidad; (3) pruebas funcionales por módulo; (4) integración API-base de datos-frontend; (5) seguridad y autorización; (6) usabilidad y rendimiento básico; (7) registro de defectos, retest y cierre.</w:t>
      </w:r>
    </w:p>
    <w:p>
      <w:r>
        <w:rPr/>
        <w:t xml:space="preserve">La prioridad es P0 para autenticación, autorización, aislamiento entre empresas, contratos y documentos; P1 para clientes, usuarios, validaciones y auditoría; P2 para métricas, estilos, textos y compatibilidad visual. La entrada requiere código desplegable, base inicializada, credenciales de prueba y casos aprobados. La salida requiere ejecución de P0/P1, cero incidentes críticos/graves abiertos, evidencia adjunta y resultados reproducibles.</w:t>
      </w:r>
    </w:p>
    <w:p>
      <w:pPr>
        <w:pStyle w:val="Heading2"/>
      </w:pPr>
      <w:r>
        <w:rPr/>
        <w:t xml:space="preserve">3.2 Tipos de prueba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200"/>
        <w:gridCol w:w="6600"/>
      </w:tblGrid>
      <w:tr>
        <w:tc>
          <w:tcPr>
            <w:tcW w:w="2200" w:type="dxa"/>
          </w:tcPr>
          <w:p>
            <w:r>
              <w:rPr>
                <w:b/>
              </w:rPr>
              <w:t xml:space="preserve">Tipo</w:t>
            </w:r>
          </w:p>
        </w:tc>
        <w:tc>
          <w:tcPr>
            <w:tcW w:w="6600" w:type="dxa"/>
          </w:tcPr>
          <w:p>
            <w:r>
              <w:rPr>
                <w:b/>
              </w:rPr>
              <w:t xml:space="preserve">Aplicación en Atlas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Funcional</w:t>
            </w:r>
          </w:p>
        </w:tc>
        <w:tc>
          <w:tcPr>
            <w:tcW w:w="6600" w:type="dxa"/>
          </w:tcPr>
          <w:p>
            <w:r>
              <w:rPr/>
              <w:t xml:space="preserve">Login, registro, CRUD de empresas/clientes/usuarios/contratos y documentos.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Integración</w:t>
            </w:r>
          </w:p>
        </w:tc>
        <w:tc>
          <w:tcPr>
            <w:tcW w:w="6600" w:type="dxa"/>
          </w:tcPr>
          <w:p>
            <w:r>
              <w:rPr/>
              <w:t xml:space="preserve">Frontend con API, API con PostgreSQL, relaciones y transacciones observables.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Seguridad</w:t>
            </w:r>
          </w:p>
        </w:tc>
        <w:tc>
          <w:tcPr>
            <w:tcW w:w="6600" w:type="dxa"/>
          </w:tcPr>
          <w:p>
            <w:r>
              <w:rPr/>
              <w:t xml:space="preserve">JWT, roles, aislamiento por empresa, manipulación de identificadores, archivos y errores.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No funcional</w:t>
            </w:r>
          </w:p>
        </w:tc>
        <w:tc>
          <w:tcPr>
            <w:tcW w:w="6600" w:type="dxa"/>
          </w:tcPr>
          <w:p>
            <w:r>
              <w:rPr/>
              <w:t xml:space="preserve">Rendimiento básico, estabilidad, compatibilidad de navegador y responsive.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Usabilidad</w:t>
            </w:r>
          </w:p>
        </w:tc>
        <w:tc>
          <w:tcPr>
            <w:tcW w:w="6600" w:type="dxa"/>
          </w:tcPr>
          <w:p>
            <w:r>
              <w:rPr/>
              <w:t xml:space="preserve">Mensajes, formularios, navegación, legibilidad y operación para adultos mayores.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Regresión</w:t>
            </w:r>
          </w:p>
        </w:tc>
        <w:tc>
          <w:tcPr>
            <w:tcW w:w="6600" w:type="dxa"/>
          </w:tcPr>
          <w:p>
            <w:r>
              <w:rPr/>
              <w:t xml:space="preserve">Repetición de flujos P0/P1 después de cada corrección.</w:t>
            </w:r>
          </w:p>
        </w:tc>
      </w:tr>
    </w:tbl>
    <w:p>
      <w:pPr>
        <w:pStyle w:val="Heading2"/>
      </w:pPr>
      <w:r>
        <w:rPr/>
        <w:t xml:space="preserve">3.3 Criterios de aceptación</w:t>
      </w:r>
    </w:p>
    <w:p>
      <w:pPr>
        <w:pStyle w:val="ListBullet"/>
      </w:pPr>
      <w:r>
        <w:rPr/>
        <w:t xml:space="preserve">El resultado esperado coincide con el contrato OpenAPI y el código funcional, incluyendo estado HTTP y estructura mínima de respuesta.</w:t>
      </w:r>
    </w:p>
    <w:p>
      <w:pPr>
        <w:pStyle w:val="ListBullet"/>
      </w:pPr>
      <w:r>
        <w:rPr/>
        <w:t xml:space="preserve">Un usuario no autenticado recibe rechazo y no puede acceder a rutas protegidas; un usuario autenticado no puede cruzar datos de otra empresa.</w:t>
      </w:r>
    </w:p>
    <w:p>
      <w:pPr>
        <w:pStyle w:val="ListBullet"/>
      </w:pPr>
      <w:r>
        <w:rPr/>
        <w:t xml:space="preserve">Los datos inválidos se rechazan con mensaje comprensible sin persistir registros parciales.</w:t>
      </w:r>
    </w:p>
    <w:p>
      <w:pPr>
        <w:pStyle w:val="ListBullet"/>
      </w:pPr>
      <w:r>
        <w:rPr/>
        <w:t xml:space="preserve">Los contratos mantienen cliente y fechas válidas; los documentos se asocian al contrato correcto y no quedan expuestos sin autorización.</w:t>
      </w:r>
    </w:p>
    <w:p>
      <w:pPr>
        <w:pStyle w:val="ListBullet"/>
      </w:pPr>
      <w:r>
        <w:rPr/>
        <w:t xml:space="preserve">No se exponen contraseñas, hashes, secretos, tokens completos ni detalles internos en respuestas o errores.</w:t>
      </w:r>
    </w:p>
    <w:p>
      <w:pPr>
        <w:pStyle w:val="ListBullet"/>
      </w:pPr>
      <w:r>
        <w:rPr/>
        <w:t xml:space="preserve">Los defectos críticos o graves bloquean la aceptación; los moderados y leves deben estar documentados y con decisión explícita.</w:t>
      </w:r>
    </w:p>
    <w:p>
      <w:pPr>
        <w:pStyle w:val="Heading2"/>
      </w:pPr>
      <w:r>
        <w:rPr/>
        <w:t xml:space="preserve">3.4 Herramientas y recursos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600"/>
        <w:gridCol w:w="6200"/>
      </w:tblGrid>
      <w:tr>
        <w:tc>
          <w:tcPr>
            <w:tcW w:w="2600" w:type="dxa"/>
          </w:tcPr>
          <w:p>
            <w:r>
              <w:rPr>
                <w:b/>
              </w:rPr>
              <w:t xml:space="preserve">Recurso</w:t>
            </w:r>
          </w:p>
        </w:tc>
        <w:tc>
          <w:tcPr>
            <w:tcW w:w="6200" w:type="dxa"/>
          </w:tcPr>
          <w:p>
            <w:r>
              <w:rPr>
                <w:b/>
              </w:rPr>
              <w:t xml:space="preserve">Uso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Docker Compose / PostgreSQL 15</w:t>
            </w:r>
          </w:p>
        </w:tc>
        <w:tc>
          <w:tcPr>
            <w:tcW w:w="6200" w:type="dxa"/>
          </w:tcPr>
          <w:p>
            <w:r>
              <w:rPr/>
              <w:t xml:space="preserve">Ambiente reproducible con base de datos, API y frontend.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Node.js 24, npm 11</w:t>
            </w:r>
          </w:p>
        </w:tc>
        <w:tc>
          <w:tcPr>
            <w:tcW w:w="6200" w:type="dxa"/>
          </w:tcPr>
          <w:p>
            <w:r>
              <w:rPr/>
              <w:t xml:space="preserve">Instalación, ejecución, lint y build del frontend/backend.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Vite, ESLint</w:t>
            </w:r>
          </w:p>
        </w:tc>
        <w:tc>
          <w:tcPr>
            <w:tcW w:w="6200" w:type="dxa"/>
          </w:tcPr>
          <w:p>
            <w:r>
              <w:rPr/>
              <w:t xml:space="preserve">Servidor del frontend, empaquetado y análisis estático.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Swagger UI / OpenAPI</w:t>
            </w:r>
          </w:p>
        </w:tc>
        <w:tc>
          <w:tcPr>
            <w:tcW w:w="6200" w:type="dxa"/>
          </w:tcPr>
          <w:p>
            <w:r>
              <w:rPr/>
              <w:t xml:space="preserve">Consulta y ejecución manual de endpoints.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Postman/Newman o curl</w:t>
            </w:r>
          </w:p>
        </w:tc>
        <w:tc>
          <w:tcPr>
            <w:tcW w:w="6200" w:type="dxa"/>
          </w:tcPr>
          <w:p>
            <w:r>
              <w:rPr/>
              <w:t xml:space="preserve">Pruebas de API, autorización y regresión repetible.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Navegadores Chromium, Firefox y Safari</w:t>
            </w:r>
          </w:p>
        </w:tc>
        <w:tc>
          <w:tcPr>
            <w:tcW w:w="6200" w:type="dxa"/>
          </w:tcPr>
          <w:p>
            <w:r>
              <w:rPr/>
              <w:t xml:space="preserve">Compatibilidad funcional y visual.</w:t>
            </w:r>
          </w:p>
        </w:tc>
      </w:tr>
      <w:tr>
        <w:tc>
          <w:tcPr>
            <w:tcW w:w="2600" w:type="dxa"/>
          </w:tcPr>
          <w:p>
            <w:r>
              <w:rPr/>
              <w:t xml:space="preserve">Roles</w:t>
            </w:r>
          </w:p>
        </w:tc>
        <w:tc>
          <w:tcPr>
            <w:tcW w:w="6200" w:type="dxa"/>
          </w:tcPr>
          <w:p>
            <w:r>
              <w:rPr/>
              <w:t xml:space="preserve">QA diseña/ejecuta; desarrollo corrige; responsable de producto valida aceptación; seguridad revisa P0.</w:t>
            </w:r>
          </w:p>
        </w:tc>
      </w:tr>
    </w:tbl>
    <w:p>
      <w:r>
        <w:br w:type="page"/>
      </w:r>
    </w:p>
    <w:p>
      <w:pPr>
        <w:pStyle w:val="Heading1"/>
      </w:pPr>
      <w:r>
        <w:rPr/>
        <w:t xml:space="preserve">4. Diseño de casos de prueba</w:t>
      </w:r>
    </w:p>
    <w:p>
      <w:r>
        <w:rPr/>
        <w:t xml:space="preserve">Los siguientes casos cubren los flujos críticos identificados en el proyecto. La evidencia esperada debe incluir captura o respuesta HTTP, datos usados, fecha, ejecutor y, cuando corresponda, consulta de verificación en PostgreSQL.</w:t>
      </w:r>
    </w:p>
    <w:p>
      <w:pPr>
        <w:pStyle w:val="Heading2"/>
      </w:pPr>
      <w:r>
        <w:rPr/>
        <w:t xml:space="preserve">CP-01 - Inicio de sesión válido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200"/>
        <w:gridCol w:w="6600"/>
      </w:tblGrid>
      <w:tr>
        <w:tc>
          <w:tcPr>
            <w:tcW w:w="2200" w:type="dxa"/>
          </w:tcPr>
          <w:p>
            <w:r>
              <w:rPr>
                <w:b/>
              </w:rPr>
              <w:t xml:space="preserve">Campo</w:t>
            </w:r>
          </w:p>
        </w:tc>
        <w:tc>
          <w:tcPr>
            <w:tcW w:w="6600" w:type="dxa"/>
          </w:tcPr>
          <w:p>
            <w:r>
              <w:rPr>
                <w:b/>
              </w:rPr>
              <w:t xml:space="preserve">Detalle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Requerimiento</w:t>
            </w:r>
          </w:p>
        </w:tc>
        <w:tc>
          <w:tcPr>
            <w:tcW w:w="6600" w:type="dxa"/>
          </w:tcPr>
          <w:p>
            <w:r>
              <w:rPr/>
              <w:t xml:space="preserve">REQ-AUTH-01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Descripción</w:t>
            </w:r>
          </w:p>
        </w:tc>
        <w:tc>
          <w:tcPr>
            <w:tcW w:w="6600" w:type="dxa"/>
          </w:tcPr>
          <w:p>
            <w:r>
              <w:rPr/>
              <w:t xml:space="preserve">Verificar autenticación y emisión de JWT.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Precondiciones</w:t>
            </w:r>
          </w:p>
        </w:tc>
        <w:tc>
          <w:tcPr>
            <w:tcW w:w="6600" w:type="dxa"/>
          </w:tcPr>
          <w:p>
            <w:r>
              <w:rPr/>
              <w:t xml:space="preserve">Usuario registrado y asociado a una empresa.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Pasos</w:t>
            </w:r>
          </w:p>
        </w:tc>
        <w:tc>
          <w:tcPr>
            <w:tcW w:w="6600" w:type="dxa"/>
          </w:tcPr>
          <w:p>
            <w:r>
              <w:rPr/>
              <w:t xml:space="preserve">Enviar POST /autenticacion/login con credenciales válidas; guardar token; abrir inicio.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Resultado esperado</w:t>
            </w:r>
          </w:p>
        </w:tc>
        <w:tc>
          <w:tcPr>
            <w:tcW w:w="6600" w:type="dxa"/>
          </w:tcPr>
          <w:p>
            <w:r>
              <w:rPr/>
              <w:t xml:space="preserve">HTTP 200, token válido con identidad y empresa; acceso al frontend.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Criterio de aceptación</w:t>
            </w:r>
          </w:p>
        </w:tc>
        <w:tc>
          <w:tcPr>
            <w:tcW w:w="6600" w:type="dxa"/>
          </w:tcPr>
          <w:p>
            <w:r>
              <w:rPr/>
              <w:t xml:space="preserve">Token aceptado y datos del usuario visibles sin contraseña.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Datos de prueba</w:t>
            </w:r>
          </w:p>
        </w:tc>
        <w:tc>
          <w:tcPr>
            <w:tcW w:w="6600" w:type="dxa"/>
          </w:tcPr>
          <w:p>
            <w:r>
              <w:rPr/>
              <w:t xml:space="preserve">usuario: qa_admin / password de prueba</w:t>
            </w:r>
          </w:p>
        </w:tc>
      </w:tr>
    </w:tbl>
    <w:p>
      <w:pPr>
        <w:pStyle w:val="Heading2"/>
      </w:pPr>
      <w:r>
        <w:rPr/>
        <w:t xml:space="preserve">CP-02 - Rechazo de credenciales inválidas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200"/>
        <w:gridCol w:w="6600"/>
      </w:tblGrid>
      <w:tr>
        <w:tc>
          <w:tcPr>
            <w:tcW w:w="2200" w:type="dxa"/>
          </w:tcPr>
          <w:p>
            <w:r>
              <w:rPr>
                <w:b/>
              </w:rPr>
              <w:t xml:space="preserve">Campo</w:t>
            </w:r>
          </w:p>
        </w:tc>
        <w:tc>
          <w:tcPr>
            <w:tcW w:w="6600" w:type="dxa"/>
          </w:tcPr>
          <w:p>
            <w:r>
              <w:rPr>
                <w:b/>
              </w:rPr>
              <w:t xml:space="preserve">Detalle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Requerimiento</w:t>
            </w:r>
          </w:p>
        </w:tc>
        <w:tc>
          <w:tcPr>
            <w:tcW w:w="6600" w:type="dxa"/>
          </w:tcPr>
          <w:p>
            <w:r>
              <w:rPr/>
              <w:t xml:space="preserve">REQ-AUTH-02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Descripción</w:t>
            </w:r>
          </w:p>
        </w:tc>
        <w:tc>
          <w:tcPr>
            <w:tcW w:w="6600" w:type="dxa"/>
          </w:tcPr>
          <w:p>
            <w:r>
              <w:rPr/>
              <w:t xml:space="preserve">Impedir acceso con contraseña incorrecta.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Precondiciones</w:t>
            </w:r>
          </w:p>
        </w:tc>
        <w:tc>
          <w:tcPr>
            <w:tcW w:w="6600" w:type="dxa"/>
          </w:tcPr>
          <w:p>
            <w:r>
              <w:rPr/>
              <w:t xml:space="preserve">Usuario existente.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Pasos</w:t>
            </w:r>
          </w:p>
        </w:tc>
        <w:tc>
          <w:tcPr>
            <w:tcW w:w="6600" w:type="dxa"/>
          </w:tcPr>
          <w:p>
            <w:r>
              <w:rPr/>
              <w:t xml:space="preserve">Enviar login con contraseña incorrecta y repetir con usuario inexistente.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Resultado esperado</w:t>
            </w:r>
          </w:p>
        </w:tc>
        <w:tc>
          <w:tcPr>
            <w:tcW w:w="6600" w:type="dxa"/>
          </w:tcPr>
          <w:p>
            <w:r>
              <w:rPr/>
              <w:t xml:space="preserve">HTTP 401 y mensaje genérico; no se crea sesión.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Criterio de aceptación</w:t>
            </w:r>
          </w:p>
        </w:tc>
        <w:tc>
          <w:tcPr>
            <w:tcW w:w="6600" w:type="dxa"/>
          </w:tcPr>
          <w:p>
            <w:r>
              <w:rPr/>
              <w:t xml:space="preserve">No revelar si el usuario existe.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Datos de prueba</w:t>
            </w:r>
          </w:p>
        </w:tc>
        <w:tc>
          <w:tcPr>
            <w:tcW w:w="6600" w:type="dxa"/>
          </w:tcPr>
          <w:p>
            <w:r>
              <w:rPr/>
              <w:t xml:space="preserve">usuario válido; password incorrecta</w:t>
            </w:r>
          </w:p>
        </w:tc>
      </w:tr>
    </w:tbl>
    <w:p>
      <w:pPr>
        <w:pStyle w:val="Heading2"/>
      </w:pPr>
      <w:r>
        <w:rPr/>
        <w:t xml:space="preserve">CP-03 - Validación de registro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200"/>
        <w:gridCol w:w="6600"/>
      </w:tblGrid>
      <w:tr>
        <w:tc>
          <w:tcPr>
            <w:tcW w:w="2200" w:type="dxa"/>
          </w:tcPr>
          <w:p>
            <w:r>
              <w:rPr>
                <w:b/>
              </w:rPr>
              <w:t xml:space="preserve">Campo</w:t>
            </w:r>
          </w:p>
        </w:tc>
        <w:tc>
          <w:tcPr>
            <w:tcW w:w="6600" w:type="dxa"/>
          </w:tcPr>
          <w:p>
            <w:r>
              <w:rPr>
                <w:b/>
              </w:rPr>
              <w:t xml:space="preserve">Detalle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Requerimiento</w:t>
            </w:r>
          </w:p>
        </w:tc>
        <w:tc>
          <w:tcPr>
            <w:tcW w:w="6600" w:type="dxa"/>
          </w:tcPr>
          <w:p>
            <w:r>
              <w:rPr/>
              <w:t xml:space="preserve">REQ-AUTH-03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Descripción</w:t>
            </w:r>
          </w:p>
        </w:tc>
        <w:tc>
          <w:tcPr>
            <w:tcW w:w="6600" w:type="dxa"/>
          </w:tcPr>
          <w:p>
            <w:r>
              <w:rPr/>
              <w:t xml:space="preserve">Verificar campos obligatorios y restricciones.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Precondiciones</w:t>
            </w:r>
          </w:p>
        </w:tc>
        <w:tc>
          <w:tcPr>
            <w:tcW w:w="6600" w:type="dxa"/>
          </w:tcPr>
          <w:p>
            <w:r>
              <w:rPr/>
              <w:t xml:space="preserve">API y base disponibles.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Pasos</w:t>
            </w:r>
          </w:p>
        </w:tc>
        <w:tc>
          <w:tcPr>
            <w:tcW w:w="6600" w:type="dxa"/>
          </w:tcPr>
          <w:p>
            <w:r>
              <w:rPr/>
              <w:t xml:space="preserve">Enviar registro sin correo, con nombre corto y con correo duplicado.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Resultado esperado</w:t>
            </w:r>
          </w:p>
        </w:tc>
        <w:tc>
          <w:tcPr>
            <w:tcW w:w="6600" w:type="dxa"/>
          </w:tcPr>
          <w:p>
            <w:r>
              <w:rPr/>
              <w:t xml:space="preserve">HTTP 400; mensajes de validación; ningún registro inválido persistido.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Criterio de aceptación</w:t>
            </w:r>
          </w:p>
        </w:tc>
        <w:tc>
          <w:tcPr>
            <w:tcW w:w="6600" w:type="dxa"/>
          </w:tcPr>
          <w:p>
            <w:r>
              <w:rPr/>
              <w:t xml:space="preserve">Validación consistente entre cliente y servidor.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Datos de prueba</w:t>
            </w:r>
          </w:p>
        </w:tc>
        <w:tc>
          <w:tcPr>
            <w:tcW w:w="6600" w:type="dxa"/>
          </w:tcPr>
          <w:p>
            <w:r>
              <w:rPr/>
              <w:t xml:space="preserve">payload incompleto y correo existente</w:t>
            </w:r>
          </w:p>
        </w:tc>
      </w:tr>
    </w:tbl>
    <w:p>
      <w:pPr>
        <w:pStyle w:val="Heading2"/>
      </w:pPr>
      <w:r>
        <w:rPr/>
        <w:t xml:space="preserve">CP-04 - Aislamiento por empresa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200"/>
        <w:gridCol w:w="6600"/>
      </w:tblGrid>
      <w:tr>
        <w:tc>
          <w:tcPr>
            <w:tcW w:w="2200" w:type="dxa"/>
          </w:tcPr>
          <w:p>
            <w:r>
              <w:rPr>
                <w:b/>
              </w:rPr>
              <w:t xml:space="preserve">Campo</w:t>
            </w:r>
          </w:p>
        </w:tc>
        <w:tc>
          <w:tcPr>
            <w:tcW w:w="6600" w:type="dxa"/>
          </w:tcPr>
          <w:p>
            <w:r>
              <w:rPr>
                <w:b/>
              </w:rPr>
              <w:t xml:space="preserve">Detalle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Requerimiento</w:t>
            </w:r>
          </w:p>
        </w:tc>
        <w:tc>
          <w:tcPr>
            <w:tcW w:w="6600" w:type="dxa"/>
          </w:tcPr>
          <w:p>
            <w:r>
              <w:rPr/>
              <w:t xml:space="preserve">REQ-SEC-01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Descripción</w:t>
            </w:r>
          </w:p>
        </w:tc>
        <w:tc>
          <w:tcPr>
            <w:tcW w:w="6600" w:type="dxa"/>
          </w:tcPr>
          <w:p>
            <w:r>
              <w:rPr/>
              <w:t xml:space="preserve">Impedir consultar datos de otra empresa.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Precondiciones</w:t>
            </w:r>
          </w:p>
        </w:tc>
        <w:tc>
          <w:tcPr>
            <w:tcW w:w="6600" w:type="dxa"/>
          </w:tcPr>
          <w:p>
            <w:r>
              <w:rPr/>
              <w:t xml:space="preserve">Dos empresas y usuarios; IDs conocidos.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Pasos</w:t>
            </w:r>
          </w:p>
        </w:tc>
        <w:tc>
          <w:tcPr>
            <w:tcW w:w="6600" w:type="dxa"/>
          </w:tcPr>
          <w:p>
            <w:r>
              <w:rPr/>
              <w:t xml:space="preserve">Autenticar usuario A; consultar y modificar ID perteneciente a empresa B.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Resultado esperado</w:t>
            </w:r>
          </w:p>
        </w:tc>
        <w:tc>
          <w:tcPr>
            <w:tcW w:w="6600" w:type="dxa"/>
          </w:tcPr>
          <w:p>
            <w:r>
              <w:rPr/>
              <w:t xml:space="preserve">HTTP 403/404 según política; sin cambios ni filtración.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Criterio de aceptación</w:t>
            </w:r>
          </w:p>
        </w:tc>
        <w:tc>
          <w:tcPr>
            <w:tcW w:w="6600" w:type="dxa"/>
          </w:tcPr>
          <w:p>
            <w:r>
              <w:rPr/>
              <w:t xml:space="preserve">Cero acceso cruzado y evidencia en BD.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Datos de prueba</w:t>
            </w:r>
          </w:p>
        </w:tc>
        <w:tc>
          <w:tcPr>
            <w:tcW w:w="6600" w:type="dxa"/>
          </w:tcPr>
          <w:p>
            <w:r>
              <w:rPr/>
              <w:t xml:space="preserve">Bearer de A; id de B</w:t>
            </w:r>
          </w:p>
        </w:tc>
      </w:tr>
    </w:tbl>
    <w:p>
      <w:pPr>
        <w:pStyle w:val="Heading2"/>
      </w:pPr>
      <w:r>
        <w:rPr/>
        <w:t xml:space="preserve">CP-05 - Restricción por rol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200"/>
        <w:gridCol w:w="6600"/>
      </w:tblGrid>
      <w:tr>
        <w:tc>
          <w:tcPr>
            <w:tcW w:w="2200" w:type="dxa"/>
          </w:tcPr>
          <w:p>
            <w:r>
              <w:rPr>
                <w:b/>
              </w:rPr>
              <w:t xml:space="preserve">Campo</w:t>
            </w:r>
          </w:p>
        </w:tc>
        <w:tc>
          <w:tcPr>
            <w:tcW w:w="6600" w:type="dxa"/>
          </w:tcPr>
          <w:p>
            <w:r>
              <w:rPr>
                <w:b/>
              </w:rPr>
              <w:t xml:space="preserve">Detalle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Requerimiento</w:t>
            </w:r>
          </w:p>
        </w:tc>
        <w:tc>
          <w:tcPr>
            <w:tcW w:w="6600" w:type="dxa"/>
          </w:tcPr>
          <w:p>
            <w:r>
              <w:rPr/>
              <w:t xml:space="preserve">REQ-SEC-02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Descripción</w:t>
            </w:r>
          </w:p>
        </w:tc>
        <w:tc>
          <w:tcPr>
            <w:tcW w:w="6600" w:type="dxa"/>
          </w:tcPr>
          <w:p>
            <w:r>
              <w:rPr/>
              <w:t xml:space="preserve">Verificar permisos administrador/editor.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Precondiciones</w:t>
            </w:r>
          </w:p>
        </w:tc>
        <w:tc>
          <w:tcPr>
            <w:tcW w:w="6600" w:type="dxa"/>
          </w:tcPr>
          <w:p>
            <w:r>
              <w:rPr/>
              <w:t xml:space="preserve">Usuarios con roles administrador y editor.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Pasos</w:t>
            </w:r>
          </w:p>
        </w:tc>
        <w:tc>
          <w:tcPr>
            <w:tcW w:w="6600" w:type="dxa"/>
          </w:tcPr>
          <w:p>
            <w:r>
              <w:rPr/>
              <w:t xml:space="preserve">Intentar crear usuario, gestionar roles y editar recursos con ambos perfiles.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Resultado esperado</w:t>
            </w:r>
          </w:p>
        </w:tc>
        <w:tc>
          <w:tcPr>
            <w:tcW w:w="6600" w:type="dxa"/>
          </w:tcPr>
          <w:p>
            <w:r>
              <w:rPr/>
              <w:t xml:space="preserve">Administrador autorizado; editor rechazado en operaciones administrativas.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Criterio de aceptación</w:t>
            </w:r>
          </w:p>
        </w:tc>
        <w:tc>
          <w:tcPr>
            <w:tcW w:w="6600" w:type="dxa"/>
          </w:tcPr>
          <w:p>
            <w:r>
              <w:rPr/>
              <w:t xml:space="preserve">Estados y auditoría coherentes.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Datos de prueba</w:t>
            </w:r>
          </w:p>
        </w:tc>
        <w:tc>
          <w:tcPr>
            <w:tcW w:w="6600" w:type="dxa"/>
          </w:tcPr>
          <w:p>
            <w:r>
              <w:rPr/>
              <w:t xml:space="preserve">Bearer admin/editor</w:t>
            </w:r>
          </w:p>
        </w:tc>
      </w:tr>
    </w:tbl>
    <w:p>
      <w:pPr>
        <w:pStyle w:val="Heading2"/>
      </w:pPr>
      <w:r>
        <w:rPr/>
        <w:t xml:space="preserve">CP-06 - CRUD de cliente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200"/>
        <w:gridCol w:w="6600"/>
      </w:tblGrid>
      <w:tr>
        <w:tc>
          <w:tcPr>
            <w:tcW w:w="2200" w:type="dxa"/>
          </w:tcPr>
          <w:p>
            <w:r>
              <w:rPr>
                <w:b/>
              </w:rPr>
              <w:t xml:space="preserve">Campo</w:t>
            </w:r>
          </w:p>
        </w:tc>
        <w:tc>
          <w:tcPr>
            <w:tcW w:w="6600" w:type="dxa"/>
          </w:tcPr>
          <w:p>
            <w:r>
              <w:rPr>
                <w:b/>
              </w:rPr>
              <w:t xml:space="preserve">Detalle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Requerimiento</w:t>
            </w:r>
          </w:p>
        </w:tc>
        <w:tc>
          <w:tcPr>
            <w:tcW w:w="6600" w:type="dxa"/>
          </w:tcPr>
          <w:p>
            <w:r>
              <w:rPr/>
              <w:t xml:space="preserve">REQ-CLI-01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Descripción</w:t>
            </w:r>
          </w:p>
        </w:tc>
        <w:tc>
          <w:tcPr>
            <w:tcW w:w="6600" w:type="dxa"/>
          </w:tcPr>
          <w:p>
            <w:r>
              <w:rPr/>
              <w:t xml:space="preserve">Crear, listar, actualizar y eliminar cliente válido.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Precondiciones</w:t>
            </w:r>
          </w:p>
        </w:tc>
        <w:tc>
          <w:tcPr>
            <w:tcW w:w="6600" w:type="dxa"/>
          </w:tcPr>
          <w:p>
            <w:r>
              <w:rPr/>
              <w:t xml:space="preserve">Sesión válida y empresa seleccionada.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Pasos</w:t>
            </w:r>
          </w:p>
        </w:tc>
        <w:tc>
          <w:tcPr>
            <w:tcW w:w="6600" w:type="dxa"/>
          </w:tcPr>
          <w:p>
            <w:r>
              <w:rPr/>
              <w:t xml:space="preserve">Crear cliente; listar; editar teléfono; eliminar; comprobar respuesta.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Resultado esperado</w:t>
            </w:r>
          </w:p>
        </w:tc>
        <w:tc>
          <w:tcPr>
            <w:tcW w:w="6600" w:type="dxa"/>
          </w:tcPr>
          <w:p>
            <w:r>
              <w:rPr/>
              <w:t xml:space="preserve">HTTP 201/200/204; datos consistentes y relación empresa correcta.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Criterio de aceptación</w:t>
            </w:r>
          </w:p>
        </w:tc>
        <w:tc>
          <w:tcPr>
            <w:tcW w:w="6600" w:type="dxa"/>
          </w:tcPr>
          <w:p>
            <w:r>
              <w:rPr/>
              <w:t xml:space="preserve">Sin duplicados por correo; validaciones activas.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Datos de prueba</w:t>
            </w:r>
          </w:p>
        </w:tc>
        <w:tc>
          <w:tcPr>
            <w:tcW w:w="6600" w:type="dxa"/>
          </w:tcPr>
          <w:p>
            <w:r>
              <w:rPr/>
              <w:t xml:space="preserve">Nombre, correo, RUT y contacto de prueba</w:t>
            </w:r>
          </w:p>
        </w:tc>
      </w:tr>
    </w:tbl>
    <w:p>
      <w:pPr>
        <w:pStyle w:val="Heading2"/>
      </w:pPr>
      <w:r>
        <w:rPr/>
        <w:t xml:space="preserve">CP-07 - CRUD de contrato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200"/>
        <w:gridCol w:w="6600"/>
      </w:tblGrid>
      <w:tr>
        <w:tc>
          <w:tcPr>
            <w:tcW w:w="2200" w:type="dxa"/>
          </w:tcPr>
          <w:p>
            <w:r>
              <w:rPr>
                <w:b/>
              </w:rPr>
              <w:t xml:space="preserve">Campo</w:t>
            </w:r>
          </w:p>
        </w:tc>
        <w:tc>
          <w:tcPr>
            <w:tcW w:w="6600" w:type="dxa"/>
          </w:tcPr>
          <w:p>
            <w:r>
              <w:rPr>
                <w:b/>
              </w:rPr>
              <w:t xml:space="preserve">Detalle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Requerimiento</w:t>
            </w:r>
          </w:p>
        </w:tc>
        <w:tc>
          <w:tcPr>
            <w:tcW w:w="6600" w:type="dxa"/>
          </w:tcPr>
          <w:p>
            <w:r>
              <w:rPr/>
              <w:t xml:space="preserve">REQ-CON-01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Descripción</w:t>
            </w:r>
          </w:p>
        </w:tc>
        <w:tc>
          <w:tcPr>
            <w:tcW w:w="6600" w:type="dxa"/>
          </w:tcPr>
          <w:p>
            <w:r>
              <w:rPr/>
              <w:t xml:space="preserve">Gestionar contrato y fechas.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Precondiciones</w:t>
            </w:r>
          </w:p>
        </w:tc>
        <w:tc>
          <w:tcPr>
            <w:tcW w:w="6600" w:type="dxa"/>
          </w:tcPr>
          <w:p>
            <w:r>
              <w:rPr/>
              <w:t xml:space="preserve">Cliente existente y sesión válida.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Pasos</w:t>
            </w:r>
          </w:p>
        </w:tc>
        <w:tc>
          <w:tcPr>
            <w:tcW w:w="6600" w:type="dxa"/>
          </w:tcPr>
          <w:p>
            <w:r>
              <w:rPr/>
              <w:t xml:space="preserve">Crear contrato; editar descripción; consultar detalle; probar fecha fin anterior al inicio.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Resultado esperado</w:t>
            </w:r>
          </w:p>
        </w:tc>
        <w:tc>
          <w:tcPr>
            <w:tcW w:w="6600" w:type="dxa"/>
          </w:tcPr>
          <w:p>
            <w:r>
              <w:rPr/>
              <w:t xml:space="preserve">Operación válida persiste; fecha inválida se rechaza.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Criterio de aceptación</w:t>
            </w:r>
          </w:p>
        </w:tc>
        <w:tc>
          <w:tcPr>
            <w:tcW w:w="6600" w:type="dxa"/>
          </w:tcPr>
          <w:p>
            <w:r>
              <w:rPr/>
              <w:t xml:space="preserve">Contrato siempre asociado a cliente válido.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Datos de prueba</w:t>
            </w:r>
          </w:p>
        </w:tc>
        <w:tc>
          <w:tcPr>
            <w:tcW w:w="6600" w:type="dxa"/>
          </w:tcPr>
          <w:p>
            <w:r>
              <w:rPr/>
              <w:t xml:space="preserve">Título, cliente, fechas válidas/ inválidas</w:t>
            </w:r>
          </w:p>
        </w:tc>
      </w:tr>
    </w:tbl>
    <w:p>
      <w:pPr>
        <w:pStyle w:val="Heading2"/>
      </w:pPr>
      <w:r>
        <w:rPr/>
        <w:t xml:space="preserve">CP-08 - Documento contractual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200"/>
        <w:gridCol w:w="6600"/>
      </w:tblGrid>
      <w:tr>
        <w:tc>
          <w:tcPr>
            <w:tcW w:w="2200" w:type="dxa"/>
          </w:tcPr>
          <w:p>
            <w:r>
              <w:rPr>
                <w:b/>
              </w:rPr>
              <w:t xml:space="preserve">Campo</w:t>
            </w:r>
          </w:p>
        </w:tc>
        <w:tc>
          <w:tcPr>
            <w:tcW w:w="6600" w:type="dxa"/>
          </w:tcPr>
          <w:p>
            <w:r>
              <w:rPr>
                <w:b/>
              </w:rPr>
              <w:t xml:space="preserve">Detalle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Requerimiento</w:t>
            </w:r>
          </w:p>
        </w:tc>
        <w:tc>
          <w:tcPr>
            <w:tcW w:w="6600" w:type="dxa"/>
          </w:tcPr>
          <w:p>
            <w:r>
              <w:rPr/>
              <w:t xml:space="preserve">REQ-CON-02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Descripción</w:t>
            </w:r>
          </w:p>
        </w:tc>
        <w:tc>
          <w:tcPr>
            <w:tcW w:w="6600" w:type="dxa"/>
          </w:tcPr>
          <w:p>
            <w:r>
              <w:rPr/>
              <w:t xml:space="preserve">Cargar y recuperar un documento asociado.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Precondiciones</w:t>
            </w:r>
          </w:p>
        </w:tc>
        <w:tc>
          <w:tcPr>
            <w:tcW w:w="6600" w:type="dxa"/>
          </w:tcPr>
          <w:p>
            <w:r>
              <w:rPr/>
              <w:t xml:space="preserve">Contrato existente; archivo permitido.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Pasos</w:t>
            </w:r>
          </w:p>
        </w:tc>
        <w:tc>
          <w:tcPr>
            <w:tcW w:w="6600" w:type="dxa"/>
          </w:tcPr>
          <w:p>
            <w:r>
              <w:rPr/>
              <w:t xml:space="preserve">Subir archivo; listar/descargar; intentar extensión o tamaño no permitido.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Resultado esperado</w:t>
            </w:r>
          </w:p>
        </w:tc>
        <w:tc>
          <w:tcPr>
            <w:tcW w:w="6600" w:type="dxa"/>
          </w:tcPr>
          <w:p>
            <w:r>
              <w:rPr/>
              <w:t xml:space="preserve">Archivo válido disponible solo con autorización; inválido rechazado.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Criterio de aceptación</w:t>
            </w:r>
          </w:p>
        </w:tc>
        <w:tc>
          <w:tcPr>
            <w:tcW w:w="6600" w:type="dxa"/>
          </w:tcPr>
          <w:p>
            <w:r>
              <w:rPr/>
              <w:t xml:space="preserve">No ejecutar archivos ni exponer ruta interna.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Datos de prueba</w:t>
            </w:r>
          </w:p>
        </w:tc>
        <w:tc>
          <w:tcPr>
            <w:tcW w:w="6600" w:type="dxa"/>
          </w:tcPr>
          <w:p>
            <w:r>
              <w:rPr/>
              <w:t xml:space="preserve">PDF de prueba y archivo no permitido</w:t>
            </w:r>
          </w:p>
        </w:tc>
      </w:tr>
    </w:tbl>
    <w:p>
      <w:pPr>
        <w:pStyle w:val="Heading2"/>
      </w:pPr>
      <w:r>
        <w:rPr/>
        <w:t xml:space="preserve">CP-09 - Enlace compartido protegido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200"/>
        <w:gridCol w:w="6600"/>
      </w:tblGrid>
      <w:tr>
        <w:tc>
          <w:tcPr>
            <w:tcW w:w="2200" w:type="dxa"/>
          </w:tcPr>
          <w:p>
            <w:r>
              <w:rPr>
                <w:b/>
              </w:rPr>
              <w:t xml:space="preserve">Campo</w:t>
            </w:r>
          </w:p>
        </w:tc>
        <w:tc>
          <w:tcPr>
            <w:tcW w:w="6600" w:type="dxa"/>
          </w:tcPr>
          <w:p>
            <w:r>
              <w:rPr>
                <w:b/>
              </w:rPr>
              <w:t xml:space="preserve">Detalle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Requerimiento</w:t>
            </w:r>
          </w:p>
        </w:tc>
        <w:tc>
          <w:tcPr>
            <w:tcW w:w="6600" w:type="dxa"/>
          </w:tcPr>
          <w:p>
            <w:r>
              <w:rPr/>
              <w:t xml:space="preserve">REQ-CON-03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Descripción</w:t>
            </w:r>
          </w:p>
        </w:tc>
        <w:tc>
          <w:tcPr>
            <w:tcW w:w="6600" w:type="dxa"/>
          </w:tcPr>
          <w:p>
            <w:r>
              <w:rPr/>
              <w:t xml:space="preserve">Verificar token y contraseña de contrato compartido.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Precondiciones</w:t>
            </w:r>
          </w:p>
        </w:tc>
        <w:tc>
          <w:tcPr>
            <w:tcW w:w="6600" w:type="dxa"/>
          </w:tcPr>
          <w:p>
            <w:r>
              <w:rPr/>
              <w:t xml:space="preserve">Contrato con share_enabled configurado.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Pasos</w:t>
            </w:r>
          </w:p>
        </w:tc>
        <w:tc>
          <w:tcPr>
            <w:tcW w:w="6600" w:type="dxa"/>
          </w:tcPr>
          <w:p>
            <w:r>
              <w:rPr/>
              <w:t xml:space="preserve">Generar enlace; consultar sin clave, con clave errónea y con clave válida; revocar.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Resultado esperado</w:t>
            </w:r>
          </w:p>
        </w:tc>
        <w:tc>
          <w:tcPr>
            <w:tcW w:w="6600" w:type="dxa"/>
          </w:tcPr>
          <w:p>
            <w:r>
              <w:rPr/>
              <w:t xml:space="preserve">Solo clave válida permite acceso; revocación invalida enlace.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Criterio de aceptación</w:t>
            </w:r>
          </w:p>
        </w:tc>
        <w:tc>
          <w:tcPr>
            <w:tcW w:w="6600" w:type="dxa"/>
          </w:tcPr>
          <w:p>
            <w:r>
              <w:rPr/>
              <w:t xml:space="preserve">Token no predecible y respuesta sin datos extra.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Datos de prueba</w:t>
            </w:r>
          </w:p>
        </w:tc>
        <w:tc>
          <w:tcPr>
            <w:tcW w:w="6600" w:type="dxa"/>
          </w:tcPr>
          <w:p>
            <w:r>
              <w:rPr/>
              <w:t xml:space="preserve">Token de prueba y password compartida</w:t>
            </w:r>
          </w:p>
        </w:tc>
      </w:tr>
    </w:tbl>
    <w:p>
      <w:pPr>
        <w:pStyle w:val="Heading2"/>
      </w:pPr>
      <w:r>
        <w:rPr/>
        <w:t xml:space="preserve">CP-10 - Auditoría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200"/>
        <w:gridCol w:w="6600"/>
      </w:tblGrid>
      <w:tr>
        <w:tc>
          <w:tcPr>
            <w:tcW w:w="2200" w:type="dxa"/>
          </w:tcPr>
          <w:p>
            <w:r>
              <w:rPr>
                <w:b/>
              </w:rPr>
              <w:t xml:space="preserve">Campo</w:t>
            </w:r>
          </w:p>
        </w:tc>
        <w:tc>
          <w:tcPr>
            <w:tcW w:w="6600" w:type="dxa"/>
          </w:tcPr>
          <w:p>
            <w:r>
              <w:rPr>
                <w:b/>
              </w:rPr>
              <w:t xml:space="preserve">Detalle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Requerimiento</w:t>
            </w:r>
          </w:p>
        </w:tc>
        <w:tc>
          <w:tcPr>
            <w:tcW w:w="6600" w:type="dxa"/>
          </w:tcPr>
          <w:p>
            <w:r>
              <w:rPr/>
              <w:t xml:space="preserve">REQ-AUD-01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Descripción</w:t>
            </w:r>
          </w:p>
        </w:tc>
        <w:tc>
          <w:tcPr>
            <w:tcW w:w="6600" w:type="dxa"/>
          </w:tcPr>
          <w:p>
            <w:r>
              <w:rPr/>
              <w:t xml:space="preserve">Registrar acciones relevantes.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Precondiciones</w:t>
            </w:r>
          </w:p>
        </w:tc>
        <w:tc>
          <w:tcPr>
            <w:tcW w:w="6600" w:type="dxa"/>
          </w:tcPr>
          <w:p>
            <w:r>
              <w:rPr/>
              <w:t xml:space="preserve">Usuario autenticado y módulo auditoría accesible.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Pasos</w:t>
            </w:r>
          </w:p>
        </w:tc>
        <w:tc>
          <w:tcPr>
            <w:tcW w:w="6600" w:type="dxa"/>
          </w:tcPr>
          <w:p>
            <w:r>
              <w:rPr/>
              <w:t xml:space="preserve">Crear, editar y eliminar entidad; revisar GET /auditoria.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Resultado esperado</w:t>
            </w:r>
          </w:p>
        </w:tc>
        <w:tc>
          <w:tcPr>
            <w:tcW w:w="6600" w:type="dxa"/>
          </w:tcPr>
          <w:p>
            <w:r>
              <w:rPr/>
              <w:t xml:space="preserve">Cada acción registra usuario, acción y fecha/hora.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Criterio de aceptación</w:t>
            </w:r>
          </w:p>
        </w:tc>
        <w:tc>
          <w:tcPr>
            <w:tcW w:w="6600" w:type="dxa"/>
          </w:tcPr>
          <w:p>
            <w:r>
              <w:rPr/>
              <w:t xml:space="preserve">No permitir alterar registros desde UI no autorizada.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Datos de prueba</w:t>
            </w:r>
          </w:p>
        </w:tc>
        <w:tc>
          <w:tcPr>
            <w:tcW w:w="6600" w:type="dxa"/>
          </w:tcPr>
          <w:p>
            <w:r>
              <w:rPr/>
              <w:t xml:space="preserve">Acciones CRUD de CP-06</w:t>
            </w:r>
          </w:p>
        </w:tc>
      </w:tr>
    </w:tbl>
    <w:p>
      <w:pPr>
        <w:pStyle w:val="Heading2"/>
      </w:pPr>
      <w:r>
        <w:rPr/>
        <w:t xml:space="preserve">CP-11 - Errores y sesión expirada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200"/>
        <w:gridCol w:w="6600"/>
      </w:tblGrid>
      <w:tr>
        <w:tc>
          <w:tcPr>
            <w:tcW w:w="2200" w:type="dxa"/>
          </w:tcPr>
          <w:p>
            <w:r>
              <w:rPr>
                <w:b/>
              </w:rPr>
              <w:t xml:space="preserve">Campo</w:t>
            </w:r>
          </w:p>
        </w:tc>
        <w:tc>
          <w:tcPr>
            <w:tcW w:w="6600" w:type="dxa"/>
          </w:tcPr>
          <w:p>
            <w:r>
              <w:rPr>
                <w:b/>
              </w:rPr>
              <w:t xml:space="preserve">Detalle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Requerimiento</w:t>
            </w:r>
          </w:p>
        </w:tc>
        <w:tc>
          <w:tcPr>
            <w:tcW w:w="6600" w:type="dxa"/>
          </w:tcPr>
          <w:p>
            <w:r>
              <w:rPr/>
              <w:t xml:space="preserve">REQ-SEC-03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Descripción</w:t>
            </w:r>
          </w:p>
        </w:tc>
        <w:tc>
          <w:tcPr>
            <w:tcW w:w="6600" w:type="dxa"/>
          </w:tcPr>
          <w:p>
            <w:r>
              <w:rPr/>
              <w:t xml:space="preserve">Verificar rechazo de token ausente, inválido y expirado.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Precondiciones</w:t>
            </w:r>
          </w:p>
        </w:tc>
        <w:tc>
          <w:tcPr>
            <w:tcW w:w="6600" w:type="dxa"/>
          </w:tcPr>
          <w:p>
            <w:r>
              <w:rPr/>
              <w:t xml:space="preserve">Endpoint protegido.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Pasos</w:t>
            </w:r>
          </w:p>
        </w:tc>
        <w:tc>
          <w:tcPr>
            <w:tcW w:w="6600" w:type="dxa"/>
          </w:tcPr>
          <w:p>
            <w:r>
              <w:rPr/>
              <w:t xml:space="preserve">Enviar sin Authorization, Bearer inválido y token expirado.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Resultado esperado</w:t>
            </w:r>
          </w:p>
        </w:tc>
        <w:tc>
          <w:tcPr>
            <w:tcW w:w="6600" w:type="dxa"/>
          </w:tcPr>
          <w:p>
            <w:r>
              <w:rPr/>
              <w:t xml:space="preserve">HTTP 401; frontend redirige a login; no hay stack trace.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Criterio de aceptación</w:t>
            </w:r>
          </w:p>
        </w:tc>
        <w:tc>
          <w:tcPr>
            <w:tcW w:w="6600" w:type="dxa"/>
          </w:tcPr>
          <w:p>
            <w:r>
              <w:rPr/>
              <w:t xml:space="preserve">Mensajes seguros y comportamiento consistente.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Datos de prueba</w:t>
            </w:r>
          </w:p>
        </w:tc>
        <w:tc>
          <w:tcPr>
            <w:tcW w:w="6600" w:type="dxa"/>
          </w:tcPr>
          <w:p>
            <w:r>
              <w:rPr/>
              <w:t xml:space="preserve">Tres variantes de token</w:t>
            </w:r>
          </w:p>
        </w:tc>
      </w:tr>
    </w:tbl>
    <w:p>
      <w:pPr>
        <w:pStyle w:val="Heading2"/>
      </w:pPr>
      <w:r>
        <w:rPr/>
        <w:t xml:space="preserve">CP-12 - Responsive y usabilidad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200"/>
        <w:gridCol w:w="6600"/>
      </w:tblGrid>
      <w:tr>
        <w:tc>
          <w:tcPr>
            <w:tcW w:w="2200" w:type="dxa"/>
          </w:tcPr>
          <w:p>
            <w:r>
              <w:rPr>
                <w:b/>
              </w:rPr>
              <w:t xml:space="preserve">Campo</w:t>
            </w:r>
          </w:p>
        </w:tc>
        <w:tc>
          <w:tcPr>
            <w:tcW w:w="6600" w:type="dxa"/>
          </w:tcPr>
          <w:p>
            <w:r>
              <w:rPr>
                <w:b/>
              </w:rPr>
              <w:t xml:space="preserve">Detalle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Requerimiento</w:t>
            </w:r>
          </w:p>
        </w:tc>
        <w:tc>
          <w:tcPr>
            <w:tcW w:w="6600" w:type="dxa"/>
          </w:tcPr>
          <w:p>
            <w:r>
              <w:rPr/>
              <w:t xml:space="preserve">REQ-UX-01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Descripción</w:t>
            </w:r>
          </w:p>
        </w:tc>
        <w:tc>
          <w:tcPr>
            <w:tcW w:w="6600" w:type="dxa"/>
          </w:tcPr>
          <w:p>
            <w:r>
              <w:rPr/>
              <w:t xml:space="preserve">Comprobar operación en tamaños de pantalla objetivo.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Precondiciones</w:t>
            </w:r>
          </w:p>
        </w:tc>
        <w:tc>
          <w:tcPr>
            <w:tcW w:w="6600" w:type="dxa"/>
          </w:tcPr>
          <w:p>
            <w:r>
              <w:rPr/>
              <w:t xml:space="preserve">Frontend compilado.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Pasos</w:t>
            </w:r>
          </w:p>
        </w:tc>
        <w:tc>
          <w:tcPr>
            <w:tcW w:w="6600" w:type="dxa"/>
          </w:tcPr>
          <w:p>
            <w:r>
              <w:rPr/>
              <w:t xml:space="preserve">Revisar login, tablas, formularios y detalle en 1366px, 768px y 390px.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Resultado esperado</w:t>
            </w:r>
          </w:p>
        </w:tc>
        <w:tc>
          <w:tcPr>
            <w:tcW w:w="6600" w:type="dxa"/>
          </w:tcPr>
          <w:p>
            <w:r>
              <w:rPr/>
              <w:t xml:space="preserve">Sin solapamientos; controles utilizables; mensajes legibles.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Criterio de aceptación</w:t>
            </w:r>
          </w:p>
        </w:tc>
        <w:tc>
          <w:tcPr>
            <w:tcW w:w="6600" w:type="dxa"/>
          </w:tcPr>
          <w:p>
            <w:r>
              <w:rPr/>
              <w:t xml:space="preserve">Flujo principal completado sin zoom obligatorio.</w:t>
            </w:r>
          </w:p>
        </w:tc>
      </w:tr>
      <w:tr>
        <w:tc>
          <w:tcPr>
            <w:tcW w:w="2200" w:type="dxa"/>
          </w:tcPr>
          <w:p>
            <w:r>
              <w:rPr/>
              <w:t xml:space="preserve">Datos de prueba</w:t>
            </w:r>
          </w:p>
        </w:tc>
        <w:tc>
          <w:tcPr>
            <w:tcW w:w="6600" w:type="dxa"/>
          </w:tcPr>
          <w:p>
            <w:r>
              <w:rPr/>
              <w:t xml:space="preserve">Chromium; viewport desktop/tablet/móvil</w:t>
            </w:r>
          </w:p>
        </w:tc>
      </w:tr>
    </w:tbl>
    <w:p>
      <w:r>
        <w:br w:type="page"/>
      </w:r>
    </w:p>
    <w:p>
      <w:pPr>
        <w:pStyle w:val="Heading1"/>
      </w:pPr>
      <w:r>
        <w:rPr/>
        <w:t xml:space="preserve">5. Ejecución de pruebas</w:t>
      </w:r>
    </w:p>
    <w:p>
      <w:pPr>
        <w:pStyle w:val="Heading2"/>
      </w:pPr>
      <w:r>
        <w:rPr/>
        <w:t xml:space="preserve">5.1 Resumen de ejecución</w:t>
      </w:r>
    </w:p>
    <w:p>
      <w:r>
        <w:rPr/>
        <w:t xml:space="preserve">La plantilla contempla 12 casos de prueba diseñados. En esta entrega se documenta el diseño y la revisión estática del repositorio; no se declara una ejecución dinámica porque no se levantaron los servicios Docker ni se generaron evidencias HTTP o capturas del navegador durante la elaboración del informe.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1600"/>
        <w:gridCol w:w="4200"/>
      </w:tblGrid>
      <w:tr>
        <w:tc>
          <w:tcPr>
            <w:tcW w:w="3000" w:type="dxa"/>
          </w:tcPr>
          <w:p>
            <w:r>
              <w:rPr>
                <w:b/>
              </w:rPr>
              <w:t xml:space="preserve">Estado</w:t>
            </w:r>
          </w:p>
        </w:tc>
        <w:tc>
          <w:tcPr>
            <w:tcW w:w="1600" w:type="dxa"/>
          </w:tcPr>
          <w:p>
            <w:r>
              <w:rPr>
                <w:b/>
              </w:rPr>
              <w:t xml:space="preserve">Cantidad</w:t>
            </w:r>
          </w:p>
        </w:tc>
        <w:tc>
          <w:tcPr>
            <w:tcW w:w="4200" w:type="dxa"/>
          </w:tcPr>
          <w:p>
            <w:r>
              <w:rPr>
                <w:b/>
              </w:rPr>
              <w:t xml:space="preserve">Observación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Diseñados</w:t>
            </w:r>
          </w:p>
        </w:tc>
        <w:tc>
          <w:tcPr>
            <w:tcW w:w="1600" w:type="dxa"/>
          </w:tcPr>
          <w:p>
            <w:r>
              <w:rPr/>
              <w:t xml:space="preserve">12</w:t>
            </w:r>
          </w:p>
        </w:tc>
        <w:tc>
          <w:tcPr>
            <w:tcW w:w="4200" w:type="dxa"/>
          </w:tcPr>
          <w:p>
            <w:r>
              <w:rPr/>
              <w:t xml:space="preserve">Casos CP-01 a CP-12.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Ejecutados dinámicamente</w:t>
            </w:r>
          </w:p>
        </w:tc>
        <w:tc>
          <w:tcPr>
            <w:tcW w:w="1600" w:type="dxa"/>
          </w:tcPr>
          <w:p>
            <w:r>
              <w:rPr/>
              <w:t xml:space="preserve">0</w:t>
            </w:r>
          </w:p>
        </w:tc>
        <w:tc>
          <w:tcPr>
            <w:tcW w:w="4200" w:type="dxa"/>
          </w:tcPr>
          <w:p>
            <w:r>
              <w:rPr/>
              <w:t xml:space="preserve">Pendientes de ambiente QA y datos de prueba.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Aprobados</w:t>
            </w:r>
          </w:p>
        </w:tc>
        <w:tc>
          <w:tcPr>
            <w:tcW w:w="1600" w:type="dxa"/>
          </w:tcPr>
          <w:p>
            <w:r>
              <w:rPr/>
              <w:t xml:space="preserve">0</w:t>
            </w:r>
          </w:p>
        </w:tc>
        <w:tc>
          <w:tcPr>
            <w:tcW w:w="4200" w:type="dxa"/>
          </w:tcPr>
          <w:p>
            <w:r>
              <w:rPr/>
              <w:t xml:space="preserve">No corresponde afirmar aprobación sin evidencia.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Fallidos</w:t>
            </w:r>
          </w:p>
        </w:tc>
        <w:tc>
          <w:tcPr>
            <w:tcW w:w="1600" w:type="dxa"/>
          </w:tcPr>
          <w:p>
            <w:r>
              <w:rPr/>
              <w:t xml:space="preserve">0</w:t>
            </w:r>
          </w:p>
        </w:tc>
        <w:tc>
          <w:tcPr>
            <w:tcW w:w="4200" w:type="dxa"/>
          </w:tcPr>
          <w:p>
            <w:r>
              <w:rPr/>
              <w:t xml:space="preserve">No se clasifican fallos dinámicos no ejecutados.</w:t>
            </w:r>
          </w:p>
        </w:tc>
      </w:tr>
      <w:tr>
        <w:tc>
          <w:tcPr>
            <w:tcW w:w="3000" w:type="dxa"/>
          </w:tcPr>
          <w:p>
            <w:r>
              <w:rPr/>
              <w:t xml:space="preserve">Bloqueados</w:t>
            </w:r>
          </w:p>
        </w:tc>
        <w:tc>
          <w:tcPr>
            <w:tcW w:w="1600" w:type="dxa"/>
          </w:tcPr>
          <w:p>
            <w:r>
              <w:rPr/>
              <w:t xml:space="preserve">12</w:t>
            </w:r>
          </w:p>
        </w:tc>
        <w:tc>
          <w:tcPr>
            <w:tcW w:w="4200" w:type="dxa"/>
          </w:tcPr>
          <w:p>
            <w:r>
              <w:rPr/>
              <w:t xml:space="preserve">Requieren levantar Docker, instalar dependencias y registrar evidencia.</w:t>
            </w:r>
          </w:p>
        </w:tc>
      </w:tr>
    </w:tbl>
    <w:p>
      <w:r>
        <w:rPr/>
        <w:t xml:space="preserve">Resultado de revisión estática: se identificaron controles de validación, JWT, roles, auditoría, relaciones PostgreSQL y documentación OpenAPI. También deben verificarse en ejecución la autorización efectiva por recurso, el aislamiento multiempresa, la política de archivos y el manejo de secretos antes de aceptar el sistema.</w:t>
      </w:r>
    </w:p>
    <w:p>
      <w:pPr>
        <w:pStyle w:val="Heading2"/>
      </w:pPr>
      <w:r>
        <w:rPr/>
        <w:t xml:space="preserve">5.2 Detalle de ejecución de casos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500"/>
        <w:gridCol w:w="2300"/>
        <w:gridCol w:w="4300"/>
        <w:gridCol w:w="1700"/>
      </w:tblGrid>
      <w:tr>
        <w:tc>
          <w:tcPr>
            <w:tcW w:w="1500" w:type="dxa"/>
          </w:tcPr>
          <w:p>
            <w:r>
              <w:rPr>
                <w:b/>
              </w:rPr>
              <w:t xml:space="preserve">Caso</w:t>
            </w:r>
          </w:p>
        </w:tc>
        <w:tc>
          <w:tcPr>
            <w:tcW w:w="2300" w:type="dxa"/>
          </w:tcPr>
          <w:p>
            <w:r>
              <w:rPr>
                <w:b/>
              </w:rPr>
              <w:t xml:space="preserve">Resultado</w:t>
            </w:r>
          </w:p>
        </w:tc>
        <w:tc>
          <w:tcPr>
            <w:tcW w:w="4300" w:type="dxa"/>
          </w:tcPr>
          <w:p>
            <w:r>
              <w:rPr>
                <w:b/>
              </w:rPr>
              <w:t xml:space="preserve">Evidencia requerida</w:t>
            </w:r>
          </w:p>
        </w:tc>
        <w:tc>
          <w:tcPr>
            <w:tcW w:w="1700" w:type="dxa"/>
          </w:tcPr>
          <w:p>
            <w:r>
              <w:rPr>
                <w:b/>
              </w:rPr>
              <w:t xml:space="preserve">Tipo</w:t>
            </w:r>
          </w:p>
        </w:tc>
      </w:tr>
      <w:tr>
        <w:tc>
          <w:tcPr>
            <w:tcW w:w="1500" w:type="dxa"/>
          </w:tcPr>
          <w:p>
            <w:r>
              <w:rPr/>
              <w:t xml:space="preserve">CP-01 a CP-12</w:t>
            </w:r>
          </w:p>
        </w:tc>
        <w:tc>
          <w:tcPr>
            <w:tcW w:w="2300" w:type="dxa"/>
          </w:tcPr>
          <w:p>
            <w:r>
              <w:rPr/>
              <w:t xml:space="preserve">BLOQUEADO / NO EJECUTADO</w:t>
            </w:r>
          </w:p>
        </w:tc>
        <w:tc>
          <w:tcPr>
            <w:tcW w:w="4300" w:type="dxa"/>
          </w:tcPr>
          <w:p>
            <w:r>
              <w:rPr/>
              <w:t xml:space="preserve">Captura, request/response, fecha, ejecutor y datos; pendiente de ambiente QA.</w:t>
            </w:r>
          </w:p>
        </w:tc>
        <w:tc>
          <w:tcPr>
            <w:tcW w:w="1700" w:type="dxa"/>
          </w:tcPr>
          <w:p>
            <w:r>
              <w:rPr/>
              <w:t xml:space="preserve">Funcional, integración, seguridad y usabilidad</w:t>
            </w:r>
          </w:p>
        </w:tc>
      </w:tr>
    </w:tbl>
    <w:p>
      <w:r>
        <w:rPr/>
        <w:t xml:space="preserve">Responsable de ejecución pendiente: QA asignado. Fecha de ejecución pendiente: posterior al levantamiento del ambiente. Incidente reportado: no se registran incidentes dinámicos en esta versión; los riesgos estáticos se gestionan como condiciones de salida y tareas de remediación.</w:t>
      </w:r>
    </w:p>
    <w:p>
      <w:pPr>
        <w:pStyle w:val="Heading2"/>
      </w:pPr>
      <w:r>
        <w:rPr/>
        <w:t xml:space="preserve">5.3 Criticidad de incidentes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600"/>
        <w:gridCol w:w="4500"/>
        <w:gridCol w:w="3700"/>
      </w:tblGrid>
      <w:tr>
        <w:tc>
          <w:tcPr>
            <w:tcW w:w="1600" w:type="dxa"/>
          </w:tcPr>
          <w:p>
            <w:r>
              <w:rPr>
                <w:b/>
              </w:rPr>
              <w:t xml:space="preserve">Nivel</w:t>
            </w:r>
          </w:p>
        </w:tc>
        <w:tc>
          <w:tcPr>
            <w:tcW w:w="4500" w:type="dxa"/>
          </w:tcPr>
          <w:p>
            <w:r>
              <w:rPr>
                <w:b/>
              </w:rPr>
              <w:t xml:space="preserve">Descripción</w:t>
            </w:r>
          </w:p>
        </w:tc>
        <w:tc>
          <w:tcPr>
            <w:tcW w:w="3700" w:type="dxa"/>
          </w:tcPr>
          <w:p>
            <w:r>
              <w:rPr>
                <w:b/>
              </w:rPr>
              <w:t xml:space="preserve">Impacto y tratamiento</w:t>
            </w:r>
          </w:p>
        </w:tc>
      </w:tr>
      <w:tr>
        <w:tc>
          <w:tcPr>
            <w:tcW w:w="1600" w:type="dxa"/>
          </w:tcPr>
          <w:p>
            <w:r>
              <w:rPr/>
              <w:t xml:space="preserve">CRÍTICO</w:t>
            </w:r>
          </w:p>
        </w:tc>
        <w:tc>
          <w:tcPr>
            <w:tcW w:w="4500" w:type="dxa"/>
          </w:tcPr>
          <w:p>
            <w:r>
              <w:rPr/>
              <w:t xml:space="preserve">Impide autenticación, autorización, aislamiento entre empresas o expone documentos/credenciales.</w:t>
            </w:r>
          </w:p>
        </w:tc>
        <w:tc>
          <w:tcPr>
            <w:tcW w:w="3700" w:type="dxa"/>
          </w:tcPr>
          <w:p>
            <w:r>
              <w:rPr/>
              <w:t xml:space="preserve">Muy alto; bloquea la operación. Corrección inmediata y no liberar.</w:t>
            </w:r>
          </w:p>
        </w:tc>
      </w:tr>
      <w:tr>
        <w:tc>
          <w:tcPr>
            <w:tcW w:w="1600" w:type="dxa"/>
          </w:tcPr>
          <w:p>
            <w:r>
              <w:rPr/>
              <w:t xml:space="preserve">GRAVE</w:t>
            </w:r>
          </w:p>
        </w:tc>
        <w:tc>
          <w:tcPr>
            <w:tcW w:w="4500" w:type="dxa"/>
          </w:tcPr>
          <w:p>
            <w:r>
              <w:rPr/>
              <w:t xml:space="preserve">Afecta CRUD, contratos, auditoría o integridad, pero existe operación parcial.</w:t>
            </w:r>
          </w:p>
        </w:tc>
        <w:tc>
          <w:tcPr>
            <w:tcW w:w="3700" w:type="dxa"/>
          </w:tcPr>
          <w:p>
            <w:r>
              <w:rPr/>
              <w:t xml:space="preserve">Alto; corregir antes de aceptación o justificar formalmente.</w:t>
            </w:r>
          </w:p>
        </w:tc>
      </w:tr>
      <w:tr>
        <w:tc>
          <w:tcPr>
            <w:tcW w:w="1600" w:type="dxa"/>
          </w:tcPr>
          <w:p>
            <w:r>
              <w:rPr/>
              <w:t xml:space="preserve">MODERADO</w:t>
            </w:r>
          </w:p>
        </w:tc>
        <w:tc>
          <w:tcPr>
            <w:tcW w:w="4500" w:type="dxa"/>
          </w:tcPr>
          <w:p>
            <w:r>
              <w:rPr/>
              <w:t xml:space="preserve">Falla secundaria, validación específica, compatibilidad o rendimiento sin detener el flujo principal.</w:t>
            </w:r>
          </w:p>
        </w:tc>
        <w:tc>
          <w:tcPr>
            <w:tcW w:w="3700" w:type="dxa"/>
          </w:tcPr>
          <w:p>
            <w:r>
              <w:rPr/>
              <w:t xml:space="preserve">Medio; corregir en la siguiente iteración con seguimiento.</w:t>
            </w:r>
          </w:p>
        </w:tc>
      </w:tr>
      <w:tr>
        <w:tc>
          <w:tcPr>
            <w:tcW w:w="1600" w:type="dxa"/>
          </w:tcPr>
          <w:p>
            <w:r>
              <w:rPr/>
              <w:t xml:space="preserve">LEVE</w:t>
            </w:r>
          </w:p>
        </w:tc>
        <w:tc>
          <w:tcPr>
            <w:tcW w:w="4500" w:type="dxa"/>
          </w:tcPr>
          <w:p>
            <w:r>
              <w:rPr/>
              <w:t xml:space="preserve">Texto, estilo o detalle visual sin impacto en datos ni operación.</w:t>
            </w:r>
          </w:p>
        </w:tc>
        <w:tc>
          <w:tcPr>
            <w:tcW w:w="3700" w:type="dxa"/>
          </w:tcPr>
          <w:p>
            <w:r>
              <w:rPr/>
              <w:t xml:space="preserve">Bajo; priorizar según disponibilidad.</w:t>
            </w:r>
          </w:p>
        </w:tc>
      </w:tr>
    </w:tbl>
    <w:p>
      <w:pPr>
        <w:pStyle w:val="Heading2"/>
      </w:pPr>
      <w:r>
        <w:rPr/>
        <w:t xml:space="preserve">5.4 Riesgos y acciones de remediación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500"/>
        <w:gridCol w:w="1400"/>
        <w:gridCol w:w="4900"/>
      </w:tblGrid>
      <w:tr>
        <w:tc>
          <w:tcPr>
            <w:tcW w:w="3500" w:type="dxa"/>
          </w:tcPr>
          <w:p>
            <w:r>
              <w:rPr>
                <w:b/>
              </w:rPr>
              <w:t xml:space="preserve">Riesgo</w:t>
            </w:r>
          </w:p>
        </w:tc>
        <w:tc>
          <w:tcPr>
            <w:tcW w:w="1400" w:type="dxa"/>
          </w:tcPr>
          <w:p>
            <w:r>
              <w:rPr>
                <w:b/>
              </w:rPr>
              <w:t xml:space="preserve">Prioridad</w:t>
            </w:r>
          </w:p>
        </w:tc>
        <w:tc>
          <w:tcPr>
            <w:tcW w:w="4900" w:type="dxa"/>
          </w:tcPr>
          <w:p>
            <w:r>
              <w:rPr>
                <w:b/>
              </w:rPr>
              <w:t xml:space="preserve">Acción antes de producción</w:t>
            </w:r>
          </w:p>
        </w:tc>
      </w:tr>
      <w:tr>
        <w:tc>
          <w:tcPr>
            <w:tcW w:w="3500" w:type="dxa"/>
          </w:tcPr>
          <w:p>
            <w:r>
              <w:rPr/>
              <w:t xml:space="preserve">Secretos/JWT por defecto o expuestos en configuración</w:t>
            </w:r>
          </w:p>
        </w:tc>
        <w:tc>
          <w:tcPr>
            <w:tcW w:w="1400" w:type="dxa"/>
          </w:tcPr>
          <w:p>
            <w:r>
              <w:rPr/>
              <w:t xml:space="preserve">Crítica</w:t>
            </w:r>
          </w:p>
        </w:tc>
        <w:tc>
          <w:tcPr>
            <w:tcW w:w="4900" w:type="dxa"/>
          </w:tcPr>
          <w:p>
            <w:r>
              <w:rPr/>
              <w:t xml:space="preserve">Rotar secretos, usar variables seguras, eliminar valores por defecto inseguros y revisar historial.</w:t>
            </w:r>
          </w:p>
        </w:tc>
      </w:tr>
      <w:tr>
        <w:tc>
          <w:tcPr>
            <w:tcW w:w="3500" w:type="dxa"/>
          </w:tcPr>
          <w:p>
            <w:r>
              <w:rPr/>
              <w:t xml:space="preserve">Autorización incompleta por recurso o empresa</w:t>
            </w:r>
          </w:p>
        </w:tc>
        <w:tc>
          <w:tcPr>
            <w:tcW w:w="1400" w:type="dxa"/>
          </w:tcPr>
          <w:p>
            <w:r>
              <w:rPr/>
              <w:t xml:space="preserve">Crítica</w:t>
            </w:r>
          </w:p>
        </w:tc>
        <w:tc>
          <w:tcPr>
            <w:tcW w:w="4900" w:type="dxa"/>
          </w:tcPr>
          <w:p>
            <w:r>
              <w:rPr/>
              <w:t xml:space="preserve">Centralizar middleware de autorización y ejecutar CP-04, CP-05 y CP-11 con dos empresas.</w:t>
            </w:r>
          </w:p>
        </w:tc>
      </w:tr>
      <w:tr>
        <w:tc>
          <w:tcPr>
            <w:tcW w:w="3500" w:type="dxa"/>
          </w:tcPr>
          <w:p>
            <w:r>
              <w:rPr/>
              <w:t xml:space="preserve">Carga y descarga de archivos</w:t>
            </w:r>
          </w:p>
        </w:tc>
        <w:tc>
          <w:tcPr>
            <w:tcW w:w="1400" w:type="dxa"/>
          </w:tcPr>
          <w:p>
            <w:r>
              <w:rPr/>
              <w:t xml:space="preserve">Alta</w:t>
            </w:r>
          </w:p>
        </w:tc>
        <w:tc>
          <w:tcPr>
            <w:tcW w:w="4900" w:type="dxa"/>
          </w:tcPr>
          <w:p>
            <w:r>
              <w:rPr/>
              <w:t xml:space="preserve">Validar MIME real, extensión, tamaño, nombre, almacenamiento y autorización; agregar escaneo.</w:t>
            </w:r>
          </w:p>
        </w:tc>
      </w:tr>
      <w:tr>
        <w:tc>
          <w:tcPr>
            <w:tcW w:w="3500" w:type="dxa"/>
          </w:tcPr>
          <w:p>
            <w:r>
              <w:rPr/>
              <w:t xml:space="preserve">Ausencia de suite automatizada visible</w:t>
            </w:r>
          </w:p>
        </w:tc>
        <w:tc>
          <w:tcPr>
            <w:tcW w:w="1400" w:type="dxa"/>
          </w:tcPr>
          <w:p>
            <w:r>
              <w:rPr/>
              <w:t xml:space="preserve">Media</w:t>
            </w:r>
          </w:p>
        </w:tc>
        <w:tc>
          <w:tcPr>
            <w:tcW w:w="4900" w:type="dxa"/>
          </w:tcPr>
          <w:p>
            <w:r>
              <w:rPr/>
              <w:t xml:space="preserve">Incorporar pruebas de API/integración y regresión para P0/P1 en CI.</w:t>
            </w:r>
          </w:p>
        </w:tc>
      </w:tr>
      <w:tr>
        <w:tc>
          <w:tcPr>
            <w:tcW w:w="3500" w:type="dxa"/>
          </w:tcPr>
          <w:p>
            <w:r>
              <w:rPr/>
              <w:t xml:space="preserve">Errores y datos sensibles</w:t>
            </w:r>
          </w:p>
        </w:tc>
        <w:tc>
          <w:tcPr>
            <w:tcW w:w="1400" w:type="dxa"/>
          </w:tcPr>
          <w:p>
            <w:r>
              <w:rPr/>
              <w:t xml:space="preserve">Alta</w:t>
            </w:r>
          </w:p>
        </w:tc>
        <w:tc>
          <w:tcPr>
            <w:tcW w:w="4900" w:type="dxa"/>
          </w:tcPr>
          <w:p>
            <w:r>
              <w:rPr/>
              <w:t xml:space="preserve">Uniformar respuestas, ocultar stack traces y comprobar logs sin contraseñas/tokens.</w:t>
            </w:r>
          </w:p>
        </w:tc>
      </w:tr>
    </w:tbl>
    <w:p>
      <w:pPr>
        <w:pStyle w:val="Heading1"/>
      </w:pPr>
      <w:r>
        <w:rPr/>
        <w:t xml:space="preserve">Conclusión</w:t>
      </w:r>
    </w:p>
    <w:p>
      <w:r>
        <w:rPr/>
        <w:t xml:space="preserve">Atlas presenta una base funcional clara para administrar información empresarial, con separación frontend/backend, persistencia relacional, JWT, roles, validaciones, auditoría y despliegue reproducible. El plan cubre los riesgos principales del dominio. Sin embargo, la aceptación definitiva queda condicionada a ejecutar los 12 casos en un ambiente QA, adjuntar evidencias y cerrar los riesgos críticos, especialmente secretos, autorización por recurso y controles de documentos. El estado correcto de esta entrega es plan preparado y ejecución dinámica pendiente, no sistema certificado.</w:t>
      </w:r>
    </w:p>
    <w:sectPr>
      <w:pgSz w:w="11906" w:h="16838"/>
      <w:pgMar w:top="1440" w:right="1440" w:bottom="1440" w:left="144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855"/>
    </w:tblGrid>
    <w:tr w:rsidR="209B6E02" w:rsidTr="209B6E02" w14:paraId="459543D9">
      <w:trPr>
        <w:trHeight w:val="300"/>
      </w:trPr>
      <w:tc>
        <w:tcPr>
          <w:tcW w:w="3005" w:type="dxa"/>
          <w:tcMar/>
        </w:tcPr>
        <w:p w:rsidR="209B6E02" w:rsidP="209B6E02" w:rsidRDefault="209B6E02" w14:paraId="5C4B1773" w14:textId="0C1F7E2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09B6E02" w:rsidP="209B6E02" w:rsidRDefault="209B6E02" w14:paraId="757F7515" w14:textId="3C32D982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855" w:type="dxa"/>
          <w:tcMar/>
        </w:tcPr>
        <w:p w:rsidR="209B6E02" w:rsidP="209B6E02" w:rsidRDefault="209B6E02" w14:paraId="73DDED54" w14:textId="3843AA16">
          <w:pPr>
            <w:pStyle w:val="Header"/>
            <w:bidi w:val="0"/>
            <w:ind w:right="-115"/>
            <w:jc w:val="right"/>
          </w:pPr>
        </w:p>
      </w:tc>
    </w:tr>
  </w:tbl>
  <w:p w:rsidR="209B6E02" w:rsidP="209B6E02" w:rsidRDefault="209B6E02" w14:paraId="6AC8B352" w14:textId="5C5B9D9A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10530DD9" w:rsidTr="10530DD9" w14:paraId="4DAAF539">
      <w:trPr>
        <w:trHeight w:val="300"/>
      </w:trPr>
      <w:tc>
        <w:tcPr>
          <w:tcW w:w="3245" w:type="dxa"/>
          <w:tcMar/>
        </w:tcPr>
        <w:p w:rsidR="10530DD9" w:rsidP="10530DD9" w:rsidRDefault="10530DD9" w14:paraId="7E5DDA9E" w14:textId="697D19B5">
          <w:pPr>
            <w:pStyle w:val="Header"/>
            <w:bidi w:val="0"/>
            <w:ind w:left="-115"/>
            <w:jc w:val="left"/>
          </w:pPr>
        </w:p>
      </w:tc>
      <w:tc>
        <w:tcPr>
          <w:tcW w:w="3245" w:type="dxa"/>
          <w:tcMar/>
        </w:tcPr>
        <w:p w:rsidR="10530DD9" w:rsidP="10530DD9" w:rsidRDefault="10530DD9" w14:paraId="5A2CF208" w14:textId="36B97FB7">
          <w:pPr>
            <w:pStyle w:val="Header"/>
            <w:bidi w:val="0"/>
            <w:jc w:val="center"/>
          </w:pPr>
        </w:p>
      </w:tc>
      <w:tc>
        <w:tcPr>
          <w:tcW w:w="3245" w:type="dxa"/>
          <w:tcMar/>
        </w:tcPr>
        <w:p w:rsidR="10530DD9" w:rsidP="10530DD9" w:rsidRDefault="10530DD9" w14:paraId="34BE315D" w14:textId="790952C3">
          <w:pPr>
            <w:pStyle w:val="Header"/>
            <w:bidi w:val="0"/>
            <w:ind w:right="-115"/>
            <w:jc w:val="right"/>
          </w:pPr>
        </w:p>
      </w:tc>
    </w:tr>
  </w:tbl>
  <w:p w:rsidR="10530DD9" w:rsidP="10530DD9" w:rsidRDefault="10530DD9" w14:paraId="5299D61F" w14:textId="125FC8CA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Borders>
        <w:top w:val="none" w:color="D1D1D1" w:themeColor="background2" w:themeShade="E6" w:sz="12"/>
        <w:left w:val="none" w:color="D1D1D1" w:themeColor="background2" w:themeShade="E6" w:sz="12"/>
        <w:bottom w:val="single" w:color="D1D1D1" w:themeColor="background2" w:themeShade="E6" w:sz="12"/>
        <w:right w:val="none" w:color="D1D1D1" w:themeColor="background2" w:themeShade="E6" w:sz="12"/>
        <w:insideH w:val="none" w:color="D1D1D1" w:themeColor="background2" w:themeShade="E6" w:sz="12"/>
        <w:insideV w:val="none" w:color="D1D1D1" w:themeColor="background2" w:themeShade="E6" w:sz="12"/>
      </w:tblBorders>
      <w:tblLook w:val="06A0" w:firstRow="1" w:lastRow="0" w:firstColumn="1" w:lastColumn="0" w:noHBand="1" w:noVBand="1"/>
    </w:tblPr>
    <w:tblGrid>
      <w:gridCol w:w="2190"/>
      <w:gridCol w:w="5700"/>
      <w:gridCol w:w="1965"/>
    </w:tblGrid>
    <w:tr w:rsidR="209B6E02" w:rsidTr="209B6E02" w14:paraId="0E5F6AD0">
      <w:trPr>
        <w:trHeight w:val="300"/>
      </w:trPr>
      <w:tc>
        <w:tcPr>
          <w:tcW w:w="2190" w:type="dxa"/>
          <w:tcMar/>
          <w:vAlign w:val="center"/>
        </w:tcPr>
        <w:p w:rsidR="209B6E02" w:rsidP="209B6E02" w:rsidRDefault="209B6E02" w14:paraId="152EA695" w14:textId="5F20D5A6">
          <w:pPr>
            <w:pStyle w:val="Header"/>
            <w:bidi w:val="0"/>
            <w:ind w:left="-115"/>
            <w:jc w:val="center"/>
          </w:pPr>
          <w:r w:rsidR="209B6E02">
            <w:drawing>
              <wp:inline wp14:editId="76BEA964" wp14:anchorId="27C7333D">
                <wp:extent cx="771525" cy="295275"/>
                <wp:effectExtent l="0" t="0" r="0" b="0"/>
                <wp:docPr id="714558366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714558366" name="Picture 714558366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828896721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>
                          <a:off xmlns:a="http://schemas.openxmlformats.org/drawingml/2006/main" x="0" y="0"/>
                          <a:ext xmlns:a="http://schemas.openxmlformats.org/drawingml/2006/main" cx="771525" cy="29527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00" w:type="dxa"/>
          <w:tcMar/>
          <w:vAlign w:val="center"/>
        </w:tcPr>
        <w:p w:rsidR="209B6E02" w:rsidP="209B6E02" w:rsidRDefault="209B6E02" w14:paraId="4D573D0F" w14:textId="295C3A7A">
          <w:pPr>
            <w:pStyle w:val="Header"/>
            <w:bidi w:val="0"/>
            <w:jc w:val="center"/>
            <w:rPr>
              <w:b w:val="1"/>
              <w:bCs w:val="1"/>
              <w:sz w:val="16"/>
              <w:szCs w:val="16"/>
            </w:rPr>
          </w:pPr>
          <w:r w:rsidRPr="209B6E02" w:rsidR="209B6E02">
            <w:rPr>
              <w:b w:val="1"/>
              <w:bCs w:val="1"/>
              <w:sz w:val="16"/>
              <w:szCs w:val="16"/>
            </w:rPr>
            <w:t>INFORME DE SEGURIDAD Y CALIDAD DE SOFTWARE</w:t>
          </w:r>
        </w:p>
      </w:tc>
      <w:tc>
        <w:tcPr>
          <w:tcW w:w="1965" w:type="dxa"/>
          <w:tcMar/>
          <w:vAlign w:val="center"/>
        </w:tcPr>
        <w:p w:rsidR="209B6E02" w:rsidP="209B6E02" w:rsidRDefault="209B6E02" w14:paraId="03B4E9DA" w14:textId="1E9480B3">
          <w:pPr>
            <w:pStyle w:val="Header"/>
            <w:bidi w:val="0"/>
            <w:ind w:right="-115"/>
            <w:jc w:val="center"/>
          </w:pPr>
        </w:p>
      </w:tc>
    </w:tr>
  </w:tbl>
  <w:p w:rsidR="209B6E02" w:rsidP="209B6E02" w:rsidRDefault="209B6E02" w14:paraId="77D0FB32" w14:textId="0954811E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45"/>
      <w:gridCol w:w="3245"/>
      <w:gridCol w:w="3245"/>
    </w:tblGrid>
    <w:tr w:rsidR="10530DD9" w:rsidTr="10530DD9" w14:paraId="5B3F1B72">
      <w:trPr>
        <w:trHeight w:val="300"/>
      </w:trPr>
      <w:tc>
        <w:tcPr>
          <w:tcW w:w="3245" w:type="dxa"/>
          <w:tcMar/>
        </w:tcPr>
        <w:p w:rsidR="10530DD9" w:rsidP="10530DD9" w:rsidRDefault="10530DD9" w14:paraId="179A8BB3" w14:textId="7F6B0A67">
          <w:pPr>
            <w:pStyle w:val="Header"/>
            <w:bidi w:val="0"/>
            <w:ind w:left="-115"/>
            <w:jc w:val="left"/>
          </w:pPr>
        </w:p>
      </w:tc>
      <w:tc>
        <w:tcPr>
          <w:tcW w:w="3245" w:type="dxa"/>
          <w:tcMar/>
        </w:tcPr>
        <w:p w:rsidR="10530DD9" w:rsidP="10530DD9" w:rsidRDefault="10530DD9" w14:paraId="6DB8CBF9" w14:textId="4E0CE39A">
          <w:pPr>
            <w:pStyle w:val="Header"/>
            <w:bidi w:val="0"/>
            <w:jc w:val="center"/>
          </w:pPr>
        </w:p>
      </w:tc>
      <w:tc>
        <w:tcPr>
          <w:tcW w:w="3245" w:type="dxa"/>
          <w:tcMar/>
        </w:tcPr>
        <w:p w:rsidR="10530DD9" w:rsidP="10530DD9" w:rsidRDefault="10530DD9" w14:paraId="600A1B84" w14:textId="64BFFDD6">
          <w:pPr>
            <w:pStyle w:val="Header"/>
            <w:bidi w:val="0"/>
            <w:ind w:right="-115"/>
            <w:jc w:val="right"/>
          </w:pPr>
        </w:p>
      </w:tc>
    </w:tr>
  </w:tbl>
  <w:p w:rsidR="10530DD9" w:rsidP="10530DD9" w:rsidRDefault="10530DD9" w14:paraId="69814C5D" w14:textId="2D3E2ECF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41">
    <w:nsid w:val="76d420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bb114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2ffc8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df922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309017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15d607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6c0366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6dcbd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25760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281c73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bc95c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b5d6e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1d171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88585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36d37b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8a621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294bc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3521b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97616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831d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716c2d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a72d4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00951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65ae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2c3c0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3ee7d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1b055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4b6e3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c9df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279f9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43159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e25ae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4416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81d20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72aba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b5191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fdd50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4057c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b6711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52339d9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1068" w:hanging="360"/>
      </w:pPr>
      <w:rPr>
        <w:rFonts w:hint="default" w:ascii="Calibri Light" w:hAnsi="Calibri Light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47e66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  <w:rPr>
        <w:rFonts w:hint="default" w:ascii="Calibri Light" w:hAnsi="Calibri Light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855C95"/>
    <w:rsid w:val="004CCA80"/>
    <w:rsid w:val="004CCA80"/>
    <w:rsid w:val="008524D0"/>
    <w:rsid w:val="008524D0"/>
    <w:rsid w:val="008D0923"/>
    <w:rsid w:val="009C27D8"/>
    <w:rsid w:val="00A315A7"/>
    <w:rsid w:val="00BEBB4B"/>
    <w:rsid w:val="00C40408"/>
    <w:rsid w:val="013225AB"/>
    <w:rsid w:val="0139449E"/>
    <w:rsid w:val="0143D249"/>
    <w:rsid w:val="0143D249"/>
    <w:rsid w:val="0168CB54"/>
    <w:rsid w:val="01C38B94"/>
    <w:rsid w:val="0241BD4E"/>
    <w:rsid w:val="02E189AD"/>
    <w:rsid w:val="031AABFD"/>
    <w:rsid w:val="031E0756"/>
    <w:rsid w:val="0338242C"/>
    <w:rsid w:val="0358A5C2"/>
    <w:rsid w:val="0380E920"/>
    <w:rsid w:val="0382AAAE"/>
    <w:rsid w:val="03BE1329"/>
    <w:rsid w:val="03E072C6"/>
    <w:rsid w:val="03E07B6F"/>
    <w:rsid w:val="03EDF4D4"/>
    <w:rsid w:val="0403C60C"/>
    <w:rsid w:val="040E4E05"/>
    <w:rsid w:val="045A71D0"/>
    <w:rsid w:val="04606637"/>
    <w:rsid w:val="04606637"/>
    <w:rsid w:val="049639CC"/>
    <w:rsid w:val="04B7DB50"/>
    <w:rsid w:val="04C7B56E"/>
    <w:rsid w:val="053B778D"/>
    <w:rsid w:val="053F8A05"/>
    <w:rsid w:val="059DEE2C"/>
    <w:rsid w:val="05B941FB"/>
    <w:rsid w:val="05D72409"/>
    <w:rsid w:val="06014771"/>
    <w:rsid w:val="065BA643"/>
    <w:rsid w:val="06A59965"/>
    <w:rsid w:val="06DD6195"/>
    <w:rsid w:val="0740D8B3"/>
    <w:rsid w:val="0753C69D"/>
    <w:rsid w:val="0758CCE7"/>
    <w:rsid w:val="0799876D"/>
    <w:rsid w:val="0799F6D3"/>
    <w:rsid w:val="07C992CC"/>
    <w:rsid w:val="07D188D7"/>
    <w:rsid w:val="07E8D1FD"/>
    <w:rsid w:val="07FCDD6C"/>
    <w:rsid w:val="081F7399"/>
    <w:rsid w:val="083884FE"/>
    <w:rsid w:val="084A55EB"/>
    <w:rsid w:val="0860496C"/>
    <w:rsid w:val="087A2376"/>
    <w:rsid w:val="0880B712"/>
    <w:rsid w:val="08D9CE18"/>
    <w:rsid w:val="0914C3F2"/>
    <w:rsid w:val="095659D3"/>
    <w:rsid w:val="09590BEC"/>
    <w:rsid w:val="09734D42"/>
    <w:rsid w:val="097F88A2"/>
    <w:rsid w:val="099A2533"/>
    <w:rsid w:val="09C1E962"/>
    <w:rsid w:val="09D06652"/>
    <w:rsid w:val="0A000289"/>
    <w:rsid w:val="0A16E67D"/>
    <w:rsid w:val="0A24E1E6"/>
    <w:rsid w:val="0A4ABA99"/>
    <w:rsid w:val="0A7FF44A"/>
    <w:rsid w:val="0A8290D0"/>
    <w:rsid w:val="0A8D1383"/>
    <w:rsid w:val="0AD67CE8"/>
    <w:rsid w:val="0AD67CE8"/>
    <w:rsid w:val="0AF07715"/>
    <w:rsid w:val="0AFFF0E5"/>
    <w:rsid w:val="0B3DF00D"/>
    <w:rsid w:val="0B491414"/>
    <w:rsid w:val="0B8590CB"/>
    <w:rsid w:val="0B9D6916"/>
    <w:rsid w:val="0BBDF5E8"/>
    <w:rsid w:val="0BE57F2B"/>
    <w:rsid w:val="0C021D0F"/>
    <w:rsid w:val="0C29D4F7"/>
    <w:rsid w:val="0C29D4F7"/>
    <w:rsid w:val="0D3576AE"/>
    <w:rsid w:val="0DC0FB86"/>
    <w:rsid w:val="0DE01B09"/>
    <w:rsid w:val="0DED2051"/>
    <w:rsid w:val="0DEDB60E"/>
    <w:rsid w:val="0DFBCF17"/>
    <w:rsid w:val="0E1121CB"/>
    <w:rsid w:val="0E64DA80"/>
    <w:rsid w:val="0E7BD649"/>
    <w:rsid w:val="0E8723C4"/>
    <w:rsid w:val="0F0CAF97"/>
    <w:rsid w:val="0F114EFD"/>
    <w:rsid w:val="0F460423"/>
    <w:rsid w:val="0FAFD778"/>
    <w:rsid w:val="0FB01129"/>
    <w:rsid w:val="0FC2369D"/>
    <w:rsid w:val="0FEE9AEE"/>
    <w:rsid w:val="100FDB8F"/>
    <w:rsid w:val="10466302"/>
    <w:rsid w:val="10530DD9"/>
    <w:rsid w:val="1061F67D"/>
    <w:rsid w:val="109839C8"/>
    <w:rsid w:val="112734D3"/>
    <w:rsid w:val="11424CCE"/>
    <w:rsid w:val="114C6814"/>
    <w:rsid w:val="11A08FDD"/>
    <w:rsid w:val="11B4A72F"/>
    <w:rsid w:val="11BC30F7"/>
    <w:rsid w:val="11C620EA"/>
    <w:rsid w:val="11EB560A"/>
    <w:rsid w:val="1221F02E"/>
    <w:rsid w:val="125E9F7B"/>
    <w:rsid w:val="1267A2D4"/>
    <w:rsid w:val="126A7AE8"/>
    <w:rsid w:val="12932A0D"/>
    <w:rsid w:val="12C6C23E"/>
    <w:rsid w:val="12E4CBFD"/>
    <w:rsid w:val="12E98A64"/>
    <w:rsid w:val="12EF029A"/>
    <w:rsid w:val="13112713"/>
    <w:rsid w:val="1323D20D"/>
    <w:rsid w:val="13557CD6"/>
    <w:rsid w:val="138AD3DE"/>
    <w:rsid w:val="139D0DC7"/>
    <w:rsid w:val="13C23498"/>
    <w:rsid w:val="1403A017"/>
    <w:rsid w:val="142D524C"/>
    <w:rsid w:val="14B2E5ED"/>
    <w:rsid w:val="14F935FA"/>
    <w:rsid w:val="1552445B"/>
    <w:rsid w:val="15610912"/>
    <w:rsid w:val="158BEA27"/>
    <w:rsid w:val="1641A0FF"/>
    <w:rsid w:val="166FE605"/>
    <w:rsid w:val="166FE605"/>
    <w:rsid w:val="169432FA"/>
    <w:rsid w:val="16B39916"/>
    <w:rsid w:val="16F118F1"/>
    <w:rsid w:val="1740F51A"/>
    <w:rsid w:val="174DAFDA"/>
    <w:rsid w:val="176F16F4"/>
    <w:rsid w:val="17ACB022"/>
    <w:rsid w:val="182A51FE"/>
    <w:rsid w:val="183AF9A5"/>
    <w:rsid w:val="183AF9A5"/>
    <w:rsid w:val="186C70D9"/>
    <w:rsid w:val="18D71A0F"/>
    <w:rsid w:val="19088BCC"/>
    <w:rsid w:val="191E9A44"/>
    <w:rsid w:val="19474CD9"/>
    <w:rsid w:val="197AD22C"/>
    <w:rsid w:val="1992F756"/>
    <w:rsid w:val="19B81684"/>
    <w:rsid w:val="1A1AE440"/>
    <w:rsid w:val="1A1F4E17"/>
    <w:rsid w:val="1A5369EC"/>
    <w:rsid w:val="1A5EE765"/>
    <w:rsid w:val="1A624F26"/>
    <w:rsid w:val="1AFF9F6E"/>
    <w:rsid w:val="1B17C9E8"/>
    <w:rsid w:val="1B21DC79"/>
    <w:rsid w:val="1B25F844"/>
    <w:rsid w:val="1B33A658"/>
    <w:rsid w:val="1B586E16"/>
    <w:rsid w:val="1B91948B"/>
    <w:rsid w:val="1BCB2356"/>
    <w:rsid w:val="1BCB2356"/>
    <w:rsid w:val="1BCD88B0"/>
    <w:rsid w:val="1C458A61"/>
    <w:rsid w:val="1C849AAC"/>
    <w:rsid w:val="1C98A909"/>
    <w:rsid w:val="1CA6AB8A"/>
    <w:rsid w:val="1CD62959"/>
    <w:rsid w:val="1CEE3584"/>
    <w:rsid w:val="1CF0CEF0"/>
    <w:rsid w:val="1D1F357C"/>
    <w:rsid w:val="1D3D054F"/>
    <w:rsid w:val="1D5694DF"/>
    <w:rsid w:val="1D5B920D"/>
    <w:rsid w:val="1D5EF5B9"/>
    <w:rsid w:val="1D657595"/>
    <w:rsid w:val="1D657595"/>
    <w:rsid w:val="1D68AA2E"/>
    <w:rsid w:val="1D771C93"/>
    <w:rsid w:val="1D7D5497"/>
    <w:rsid w:val="1DD9E692"/>
    <w:rsid w:val="1DF8BF8B"/>
    <w:rsid w:val="1EA0C553"/>
    <w:rsid w:val="1EA419AF"/>
    <w:rsid w:val="1EC1EA52"/>
    <w:rsid w:val="1EC212C8"/>
    <w:rsid w:val="1F15EC0F"/>
    <w:rsid w:val="1F28B5F0"/>
    <w:rsid w:val="1F40B32E"/>
    <w:rsid w:val="1F49F5B5"/>
    <w:rsid w:val="1F49F5B5"/>
    <w:rsid w:val="1F673136"/>
    <w:rsid w:val="2044890E"/>
    <w:rsid w:val="2046357B"/>
    <w:rsid w:val="2051026F"/>
    <w:rsid w:val="209B6E02"/>
    <w:rsid w:val="20A41E98"/>
    <w:rsid w:val="20E57D57"/>
    <w:rsid w:val="20FA81BC"/>
    <w:rsid w:val="20FA81BC"/>
    <w:rsid w:val="210348AD"/>
    <w:rsid w:val="212B0821"/>
    <w:rsid w:val="216A928D"/>
    <w:rsid w:val="21B83AF9"/>
    <w:rsid w:val="22051413"/>
    <w:rsid w:val="225186C7"/>
    <w:rsid w:val="22A29A31"/>
    <w:rsid w:val="22CBD488"/>
    <w:rsid w:val="23241D1F"/>
    <w:rsid w:val="2349E193"/>
    <w:rsid w:val="23898259"/>
    <w:rsid w:val="23A76C84"/>
    <w:rsid w:val="2449741A"/>
    <w:rsid w:val="24769DE4"/>
    <w:rsid w:val="247B3307"/>
    <w:rsid w:val="24938150"/>
    <w:rsid w:val="24CC1004"/>
    <w:rsid w:val="250D80E9"/>
    <w:rsid w:val="2530D595"/>
    <w:rsid w:val="253DE349"/>
    <w:rsid w:val="25BEA887"/>
    <w:rsid w:val="25C70EAF"/>
    <w:rsid w:val="25FDA95A"/>
    <w:rsid w:val="26230031"/>
    <w:rsid w:val="26448EBC"/>
    <w:rsid w:val="265CE3B3"/>
    <w:rsid w:val="268F5C74"/>
    <w:rsid w:val="2769840E"/>
    <w:rsid w:val="27793675"/>
    <w:rsid w:val="27856370"/>
    <w:rsid w:val="28199381"/>
    <w:rsid w:val="2833064C"/>
    <w:rsid w:val="2833064C"/>
    <w:rsid w:val="2872E09A"/>
    <w:rsid w:val="28768E97"/>
    <w:rsid w:val="289AEEF5"/>
    <w:rsid w:val="28D9E9E2"/>
    <w:rsid w:val="28E6B9A0"/>
    <w:rsid w:val="28FABDEF"/>
    <w:rsid w:val="2900A27E"/>
    <w:rsid w:val="29817479"/>
    <w:rsid w:val="298E7BF5"/>
    <w:rsid w:val="29B90DB5"/>
    <w:rsid w:val="29C1EC39"/>
    <w:rsid w:val="29D7DE81"/>
    <w:rsid w:val="2A4940CC"/>
    <w:rsid w:val="2A52E0CC"/>
    <w:rsid w:val="2A675AEA"/>
    <w:rsid w:val="2A78FA9B"/>
    <w:rsid w:val="2AAEBD2B"/>
    <w:rsid w:val="2AC7F435"/>
    <w:rsid w:val="2ADC12B7"/>
    <w:rsid w:val="2B1B0421"/>
    <w:rsid w:val="2B2084CD"/>
    <w:rsid w:val="2B268644"/>
    <w:rsid w:val="2B3D3583"/>
    <w:rsid w:val="2B5AD207"/>
    <w:rsid w:val="2B5CFEDD"/>
    <w:rsid w:val="2B94DE07"/>
    <w:rsid w:val="2B996A6E"/>
    <w:rsid w:val="2BD23D14"/>
    <w:rsid w:val="2BDD922B"/>
    <w:rsid w:val="2C18CB35"/>
    <w:rsid w:val="2C47984E"/>
    <w:rsid w:val="2C69CD17"/>
    <w:rsid w:val="2C6E94C8"/>
    <w:rsid w:val="2C806B2C"/>
    <w:rsid w:val="2C9546E3"/>
    <w:rsid w:val="2D16EAB5"/>
    <w:rsid w:val="2D448BCD"/>
    <w:rsid w:val="2D5A3F8C"/>
    <w:rsid w:val="2D6E79A4"/>
    <w:rsid w:val="2D818230"/>
    <w:rsid w:val="2D84F66A"/>
    <w:rsid w:val="2D90A4E7"/>
    <w:rsid w:val="2DC51B33"/>
    <w:rsid w:val="2DFE2CF0"/>
    <w:rsid w:val="2DFECF0F"/>
    <w:rsid w:val="2E1219CE"/>
    <w:rsid w:val="2E1A1C9A"/>
    <w:rsid w:val="2E1A1C9A"/>
    <w:rsid w:val="2E5650A6"/>
    <w:rsid w:val="2E85F167"/>
    <w:rsid w:val="2EEA05DD"/>
    <w:rsid w:val="2EF3EEC6"/>
    <w:rsid w:val="2F1A2553"/>
    <w:rsid w:val="2F5836C8"/>
    <w:rsid w:val="2F98C091"/>
    <w:rsid w:val="2FABF48C"/>
    <w:rsid w:val="2FC7AA36"/>
    <w:rsid w:val="2FDD0DA3"/>
    <w:rsid w:val="2FE47F23"/>
    <w:rsid w:val="2FE7DFE5"/>
    <w:rsid w:val="2FFA648D"/>
    <w:rsid w:val="3004859A"/>
    <w:rsid w:val="3041B2EB"/>
    <w:rsid w:val="306B98AE"/>
    <w:rsid w:val="309CB020"/>
    <w:rsid w:val="30F1EBF4"/>
    <w:rsid w:val="31013F2C"/>
    <w:rsid w:val="3113CFBA"/>
    <w:rsid w:val="313A561F"/>
    <w:rsid w:val="3160876B"/>
    <w:rsid w:val="31901879"/>
    <w:rsid w:val="31E2D254"/>
    <w:rsid w:val="32503D53"/>
    <w:rsid w:val="32511967"/>
    <w:rsid w:val="328C7460"/>
    <w:rsid w:val="328C8D53"/>
    <w:rsid w:val="329708E0"/>
    <w:rsid w:val="32A801BB"/>
    <w:rsid w:val="32AC3E91"/>
    <w:rsid w:val="32B6D863"/>
    <w:rsid w:val="33050C1F"/>
    <w:rsid w:val="3393312E"/>
    <w:rsid w:val="33DCC0FF"/>
    <w:rsid w:val="33DDD420"/>
    <w:rsid w:val="33E901E6"/>
    <w:rsid w:val="33F5F812"/>
    <w:rsid w:val="3419957F"/>
    <w:rsid w:val="341E0660"/>
    <w:rsid w:val="34585133"/>
    <w:rsid w:val="3459CE1E"/>
    <w:rsid w:val="3459CE1E"/>
    <w:rsid w:val="345ADD3B"/>
    <w:rsid w:val="3467E014"/>
    <w:rsid w:val="346E278D"/>
    <w:rsid w:val="348367E2"/>
    <w:rsid w:val="34BCABF6"/>
    <w:rsid w:val="34DA060B"/>
    <w:rsid w:val="35236B94"/>
    <w:rsid w:val="353A8150"/>
    <w:rsid w:val="3568F7A4"/>
    <w:rsid w:val="3597D609"/>
    <w:rsid w:val="36200996"/>
    <w:rsid w:val="36210672"/>
    <w:rsid w:val="363138E9"/>
    <w:rsid w:val="3637AE32"/>
    <w:rsid w:val="36B3BE8F"/>
    <w:rsid w:val="36E00B60"/>
    <w:rsid w:val="36FE7081"/>
    <w:rsid w:val="3734F605"/>
    <w:rsid w:val="373EB32B"/>
    <w:rsid w:val="375306DC"/>
    <w:rsid w:val="376E7F44"/>
    <w:rsid w:val="37A8FFB5"/>
    <w:rsid w:val="387DCEDB"/>
    <w:rsid w:val="38A0E38E"/>
    <w:rsid w:val="38A5DF20"/>
    <w:rsid w:val="38C72A24"/>
    <w:rsid w:val="39A085F5"/>
    <w:rsid w:val="39BC85B2"/>
    <w:rsid w:val="39D12298"/>
    <w:rsid w:val="39D557D3"/>
    <w:rsid w:val="3A02DFA6"/>
    <w:rsid w:val="3A10E568"/>
    <w:rsid w:val="3A38F687"/>
    <w:rsid w:val="3A4F2735"/>
    <w:rsid w:val="3A66813A"/>
    <w:rsid w:val="3A9B16DD"/>
    <w:rsid w:val="3AF16F8C"/>
    <w:rsid w:val="3B00AC54"/>
    <w:rsid w:val="3B15585F"/>
    <w:rsid w:val="3B1A4C96"/>
    <w:rsid w:val="3B3770D7"/>
    <w:rsid w:val="3B7A9507"/>
    <w:rsid w:val="3B7A9507"/>
    <w:rsid w:val="3BB5F1DC"/>
    <w:rsid w:val="3C0DCEB8"/>
    <w:rsid w:val="3C1014CB"/>
    <w:rsid w:val="3C4E9E52"/>
    <w:rsid w:val="3C4F51F5"/>
    <w:rsid w:val="3C805773"/>
    <w:rsid w:val="3CA17321"/>
    <w:rsid w:val="3CB9DAB5"/>
    <w:rsid w:val="3CE3F074"/>
    <w:rsid w:val="3CE79120"/>
    <w:rsid w:val="3D1A7696"/>
    <w:rsid w:val="3D2F0BB9"/>
    <w:rsid w:val="3D43AE01"/>
    <w:rsid w:val="3D4795EA"/>
    <w:rsid w:val="3D6F5751"/>
    <w:rsid w:val="3D866E53"/>
    <w:rsid w:val="3DA1CD59"/>
    <w:rsid w:val="3DBEC6F1"/>
    <w:rsid w:val="3DD4E280"/>
    <w:rsid w:val="3DF8273C"/>
    <w:rsid w:val="3E2E701A"/>
    <w:rsid w:val="3E54A293"/>
    <w:rsid w:val="3EE1EE69"/>
    <w:rsid w:val="3F29D216"/>
    <w:rsid w:val="3F29D216"/>
    <w:rsid w:val="3F3B6ACA"/>
    <w:rsid w:val="3F495C36"/>
    <w:rsid w:val="3F6121E1"/>
    <w:rsid w:val="3FA0B47B"/>
    <w:rsid w:val="3FDAE9D0"/>
    <w:rsid w:val="405BAE64"/>
    <w:rsid w:val="4060C460"/>
    <w:rsid w:val="4083F129"/>
    <w:rsid w:val="40AFC125"/>
    <w:rsid w:val="40C02873"/>
    <w:rsid w:val="40C5E089"/>
    <w:rsid w:val="40C85625"/>
    <w:rsid w:val="40F481C1"/>
    <w:rsid w:val="410A8C6B"/>
    <w:rsid w:val="4112ADDE"/>
    <w:rsid w:val="41731E73"/>
    <w:rsid w:val="41B5D778"/>
    <w:rsid w:val="41F35686"/>
    <w:rsid w:val="42272C52"/>
    <w:rsid w:val="42CA55D7"/>
    <w:rsid w:val="42D124B8"/>
    <w:rsid w:val="4322722C"/>
    <w:rsid w:val="4357D766"/>
    <w:rsid w:val="43836625"/>
    <w:rsid w:val="43EEBEDF"/>
    <w:rsid w:val="43F20B1B"/>
    <w:rsid w:val="43F3CBB9"/>
    <w:rsid w:val="43F56213"/>
    <w:rsid w:val="4410A6DC"/>
    <w:rsid w:val="4424C7EC"/>
    <w:rsid w:val="44362805"/>
    <w:rsid w:val="4454F080"/>
    <w:rsid w:val="44DB041F"/>
    <w:rsid w:val="45125F20"/>
    <w:rsid w:val="4597580F"/>
    <w:rsid w:val="45A1A94E"/>
    <w:rsid w:val="460688D3"/>
    <w:rsid w:val="464D9A30"/>
    <w:rsid w:val="465107E3"/>
    <w:rsid w:val="46D88496"/>
    <w:rsid w:val="46ED1C76"/>
    <w:rsid w:val="46FF5173"/>
    <w:rsid w:val="471C264C"/>
    <w:rsid w:val="47643BAE"/>
    <w:rsid w:val="476C494B"/>
    <w:rsid w:val="4785EBF6"/>
    <w:rsid w:val="479B0BCB"/>
    <w:rsid w:val="479EACD6"/>
    <w:rsid w:val="47D46E8C"/>
    <w:rsid w:val="47D65160"/>
    <w:rsid w:val="47F8222B"/>
    <w:rsid w:val="48058463"/>
    <w:rsid w:val="48364CA0"/>
    <w:rsid w:val="48492D92"/>
    <w:rsid w:val="487DF7FD"/>
    <w:rsid w:val="48B23AF9"/>
    <w:rsid w:val="48B5FCA2"/>
    <w:rsid w:val="48DC470C"/>
    <w:rsid w:val="48E2A7B3"/>
    <w:rsid w:val="48E2A7B3"/>
    <w:rsid w:val="4921293D"/>
    <w:rsid w:val="494C2FFB"/>
    <w:rsid w:val="498CDAB5"/>
    <w:rsid w:val="49A9EE80"/>
    <w:rsid w:val="4A6985A6"/>
    <w:rsid w:val="4A878A99"/>
    <w:rsid w:val="4AB8814D"/>
    <w:rsid w:val="4AD3DAEA"/>
    <w:rsid w:val="4ADE1860"/>
    <w:rsid w:val="4ADE1860"/>
    <w:rsid w:val="4B1C5020"/>
    <w:rsid w:val="4B2584A0"/>
    <w:rsid w:val="4B31AFD1"/>
    <w:rsid w:val="4B44C65E"/>
    <w:rsid w:val="4B5415A8"/>
    <w:rsid w:val="4B708FF9"/>
    <w:rsid w:val="4BA7C9AD"/>
    <w:rsid w:val="4BAB18FB"/>
    <w:rsid w:val="4BBDCF02"/>
    <w:rsid w:val="4BEC5156"/>
    <w:rsid w:val="4C0FD701"/>
    <w:rsid w:val="4C100692"/>
    <w:rsid w:val="4C15E778"/>
    <w:rsid w:val="4C15E778"/>
    <w:rsid w:val="4C5092F3"/>
    <w:rsid w:val="4C745CDA"/>
    <w:rsid w:val="4C9F30FA"/>
    <w:rsid w:val="4CB2CEF4"/>
    <w:rsid w:val="4CCFAF77"/>
    <w:rsid w:val="4CCFAF77"/>
    <w:rsid w:val="4CED3948"/>
    <w:rsid w:val="4D055EF3"/>
    <w:rsid w:val="4D5927BB"/>
    <w:rsid w:val="4D5A87E4"/>
    <w:rsid w:val="4D61D8E7"/>
    <w:rsid w:val="4D8A6980"/>
    <w:rsid w:val="4DEA906B"/>
    <w:rsid w:val="4E1EAB06"/>
    <w:rsid w:val="4E1EAB06"/>
    <w:rsid w:val="4E34D514"/>
    <w:rsid w:val="4E3D448C"/>
    <w:rsid w:val="4E4BE3A1"/>
    <w:rsid w:val="4E7B60D4"/>
    <w:rsid w:val="4E9E4A51"/>
    <w:rsid w:val="4EA390AA"/>
    <w:rsid w:val="4EA390AA"/>
    <w:rsid w:val="4EACEEA1"/>
    <w:rsid w:val="4EB1673B"/>
    <w:rsid w:val="4EC43931"/>
    <w:rsid w:val="4EF8C8FA"/>
    <w:rsid w:val="4F75205A"/>
    <w:rsid w:val="4F7B5F2D"/>
    <w:rsid w:val="4F80EA6E"/>
    <w:rsid w:val="4F8B7DEF"/>
    <w:rsid w:val="4F9DF15E"/>
    <w:rsid w:val="50038B30"/>
    <w:rsid w:val="50038B30"/>
    <w:rsid w:val="50262B53"/>
    <w:rsid w:val="50262B53"/>
    <w:rsid w:val="505F687A"/>
    <w:rsid w:val="5066ECAD"/>
    <w:rsid w:val="507D8551"/>
    <w:rsid w:val="50DB4E74"/>
    <w:rsid w:val="5124AAEA"/>
    <w:rsid w:val="512AAA4A"/>
    <w:rsid w:val="512D5959"/>
    <w:rsid w:val="5135B9A2"/>
    <w:rsid w:val="5135B9A2"/>
    <w:rsid w:val="5161C83B"/>
    <w:rsid w:val="51710E8C"/>
    <w:rsid w:val="517AFCBF"/>
    <w:rsid w:val="5197D264"/>
    <w:rsid w:val="51B13897"/>
    <w:rsid w:val="51E2A081"/>
    <w:rsid w:val="51F00860"/>
    <w:rsid w:val="521E8B6F"/>
    <w:rsid w:val="524A7168"/>
    <w:rsid w:val="52718CC4"/>
    <w:rsid w:val="52CEDAC6"/>
    <w:rsid w:val="5339596C"/>
    <w:rsid w:val="53444F4D"/>
    <w:rsid w:val="53444F4D"/>
    <w:rsid w:val="5385230A"/>
    <w:rsid w:val="53962C52"/>
    <w:rsid w:val="539808D1"/>
    <w:rsid w:val="53AF932E"/>
    <w:rsid w:val="53C4DFF1"/>
    <w:rsid w:val="54122B0B"/>
    <w:rsid w:val="541D224B"/>
    <w:rsid w:val="54B339DC"/>
    <w:rsid w:val="54D2399E"/>
    <w:rsid w:val="5515AEE7"/>
    <w:rsid w:val="55286ADC"/>
    <w:rsid w:val="5551C3B2"/>
    <w:rsid w:val="556BB7C2"/>
    <w:rsid w:val="5589D5BD"/>
    <w:rsid w:val="5595FEBD"/>
    <w:rsid w:val="55D0E5D2"/>
    <w:rsid w:val="55DA6E58"/>
    <w:rsid w:val="55E496A6"/>
    <w:rsid w:val="55E496A6"/>
    <w:rsid w:val="56544F41"/>
    <w:rsid w:val="5673A48E"/>
    <w:rsid w:val="56939147"/>
    <w:rsid w:val="5699A798"/>
    <w:rsid w:val="569B503E"/>
    <w:rsid w:val="56B67B47"/>
    <w:rsid w:val="57340DA9"/>
    <w:rsid w:val="577A34A8"/>
    <w:rsid w:val="579E6689"/>
    <w:rsid w:val="57C127B8"/>
    <w:rsid w:val="57CCB827"/>
    <w:rsid w:val="57CCB827"/>
    <w:rsid w:val="584D14DC"/>
    <w:rsid w:val="5872B196"/>
    <w:rsid w:val="5889FD7D"/>
    <w:rsid w:val="593C2B50"/>
    <w:rsid w:val="597FD850"/>
    <w:rsid w:val="59A1842C"/>
    <w:rsid w:val="59A3715D"/>
    <w:rsid w:val="5A3F5D78"/>
    <w:rsid w:val="5A423C0C"/>
    <w:rsid w:val="5A640138"/>
    <w:rsid w:val="5A6E6887"/>
    <w:rsid w:val="5A71382D"/>
    <w:rsid w:val="5A76D83E"/>
    <w:rsid w:val="5A85D9DF"/>
    <w:rsid w:val="5AB911FA"/>
    <w:rsid w:val="5ABFA01D"/>
    <w:rsid w:val="5B2E423D"/>
    <w:rsid w:val="5B7D6C42"/>
    <w:rsid w:val="5BD962E3"/>
    <w:rsid w:val="5BEA07EF"/>
    <w:rsid w:val="5C209F0C"/>
    <w:rsid w:val="5C2762E3"/>
    <w:rsid w:val="5C54F9CD"/>
    <w:rsid w:val="5C5FCA06"/>
    <w:rsid w:val="5CB4E3B2"/>
    <w:rsid w:val="5CC3626F"/>
    <w:rsid w:val="5D530F77"/>
    <w:rsid w:val="5D5D905D"/>
    <w:rsid w:val="5D68A0FF"/>
    <w:rsid w:val="5D700DD9"/>
    <w:rsid w:val="5D777506"/>
    <w:rsid w:val="5D7BEF18"/>
    <w:rsid w:val="5D9DC4AA"/>
    <w:rsid w:val="5DAE00DF"/>
    <w:rsid w:val="5DB2A7E3"/>
    <w:rsid w:val="5DE1B8A1"/>
    <w:rsid w:val="5DF6BEB9"/>
    <w:rsid w:val="5DF90919"/>
    <w:rsid w:val="5E3C08B8"/>
    <w:rsid w:val="5E7B7BDA"/>
    <w:rsid w:val="5E8FFE3F"/>
    <w:rsid w:val="5E9BB615"/>
    <w:rsid w:val="5F39D746"/>
    <w:rsid w:val="5F93AF66"/>
    <w:rsid w:val="5FC4EEB8"/>
    <w:rsid w:val="5FDD9886"/>
    <w:rsid w:val="5FE1343D"/>
    <w:rsid w:val="602C308B"/>
    <w:rsid w:val="6054D7DC"/>
    <w:rsid w:val="6054D7DC"/>
    <w:rsid w:val="605AD3E5"/>
    <w:rsid w:val="606828C4"/>
    <w:rsid w:val="60B4EC6D"/>
    <w:rsid w:val="60BBA99B"/>
    <w:rsid w:val="60EEDFA4"/>
    <w:rsid w:val="60EFFF21"/>
    <w:rsid w:val="60F57F06"/>
    <w:rsid w:val="60FFA6C7"/>
    <w:rsid w:val="6145D3A6"/>
    <w:rsid w:val="61F1860E"/>
    <w:rsid w:val="626146A4"/>
    <w:rsid w:val="626D4CE7"/>
    <w:rsid w:val="627FE7C2"/>
    <w:rsid w:val="62A8AD92"/>
    <w:rsid w:val="630D7932"/>
    <w:rsid w:val="63569D6D"/>
    <w:rsid w:val="636F0715"/>
    <w:rsid w:val="637EBFA7"/>
    <w:rsid w:val="63829452"/>
    <w:rsid w:val="638A19BB"/>
    <w:rsid w:val="6397B1FF"/>
    <w:rsid w:val="63C0278F"/>
    <w:rsid w:val="64031E8A"/>
    <w:rsid w:val="64053416"/>
    <w:rsid w:val="64053416"/>
    <w:rsid w:val="64328E2D"/>
    <w:rsid w:val="64795943"/>
    <w:rsid w:val="64992F8F"/>
    <w:rsid w:val="64BB2BCB"/>
    <w:rsid w:val="64C10BE8"/>
    <w:rsid w:val="64D152B8"/>
    <w:rsid w:val="64F015B3"/>
    <w:rsid w:val="650E812B"/>
    <w:rsid w:val="65152C54"/>
    <w:rsid w:val="658AF64A"/>
    <w:rsid w:val="65B1350D"/>
    <w:rsid w:val="65EB9EB8"/>
    <w:rsid w:val="65EB9EB8"/>
    <w:rsid w:val="667C9FCB"/>
    <w:rsid w:val="6698D26E"/>
    <w:rsid w:val="66DC4C28"/>
    <w:rsid w:val="66DC4C28"/>
    <w:rsid w:val="66DE85BD"/>
    <w:rsid w:val="66E6E564"/>
    <w:rsid w:val="6702E81B"/>
    <w:rsid w:val="671C72AA"/>
    <w:rsid w:val="6789F792"/>
    <w:rsid w:val="67DE66F2"/>
    <w:rsid w:val="67F490E6"/>
    <w:rsid w:val="6818AFFC"/>
    <w:rsid w:val="68779B91"/>
    <w:rsid w:val="688C5296"/>
    <w:rsid w:val="688D291B"/>
    <w:rsid w:val="6890133B"/>
    <w:rsid w:val="6890133B"/>
    <w:rsid w:val="689057D1"/>
    <w:rsid w:val="68C9C4A0"/>
    <w:rsid w:val="68F1325B"/>
    <w:rsid w:val="69167960"/>
    <w:rsid w:val="692A563B"/>
    <w:rsid w:val="69696C19"/>
    <w:rsid w:val="698B9836"/>
    <w:rsid w:val="69908AD3"/>
    <w:rsid w:val="699706A3"/>
    <w:rsid w:val="69A0F647"/>
    <w:rsid w:val="69C05F5C"/>
    <w:rsid w:val="69E48B5F"/>
    <w:rsid w:val="69F5B27D"/>
    <w:rsid w:val="6A37608E"/>
    <w:rsid w:val="6AC65533"/>
    <w:rsid w:val="6AF3F762"/>
    <w:rsid w:val="6AF3F762"/>
    <w:rsid w:val="6AF949C9"/>
    <w:rsid w:val="6B40ABA8"/>
    <w:rsid w:val="6B48B158"/>
    <w:rsid w:val="6BA8F837"/>
    <w:rsid w:val="6BAFEEDB"/>
    <w:rsid w:val="6BE0B6A7"/>
    <w:rsid w:val="6BF28083"/>
    <w:rsid w:val="6C3BA4E5"/>
    <w:rsid w:val="6C42B911"/>
    <w:rsid w:val="6C4E7E49"/>
    <w:rsid w:val="6C5E616D"/>
    <w:rsid w:val="6CA891EB"/>
    <w:rsid w:val="6CA891EB"/>
    <w:rsid w:val="6CEF3823"/>
    <w:rsid w:val="6D0882B4"/>
    <w:rsid w:val="6D26F68A"/>
    <w:rsid w:val="6D2E5F18"/>
    <w:rsid w:val="6D412D07"/>
    <w:rsid w:val="6D56ECA4"/>
    <w:rsid w:val="6D5A95E0"/>
    <w:rsid w:val="6D855C95"/>
    <w:rsid w:val="6D9E5EC5"/>
    <w:rsid w:val="6D9E5EC5"/>
    <w:rsid w:val="6DE4341C"/>
    <w:rsid w:val="6DF087F9"/>
    <w:rsid w:val="6DFC495B"/>
    <w:rsid w:val="6E186877"/>
    <w:rsid w:val="6E255C60"/>
    <w:rsid w:val="6E4618C4"/>
    <w:rsid w:val="6E5B80B6"/>
    <w:rsid w:val="6E7C7B83"/>
    <w:rsid w:val="6EA20E3C"/>
    <w:rsid w:val="6EC71CDF"/>
    <w:rsid w:val="6EC9515E"/>
    <w:rsid w:val="6EF213A8"/>
    <w:rsid w:val="6EF22A95"/>
    <w:rsid w:val="6F2D87BA"/>
    <w:rsid w:val="6F7359B6"/>
    <w:rsid w:val="6FD3EBA3"/>
    <w:rsid w:val="7084A7CF"/>
    <w:rsid w:val="70CAAA94"/>
    <w:rsid w:val="70DF020D"/>
    <w:rsid w:val="70EFBA98"/>
    <w:rsid w:val="71057BCC"/>
    <w:rsid w:val="7121C4A4"/>
    <w:rsid w:val="7121C4A4"/>
    <w:rsid w:val="712A5D7D"/>
    <w:rsid w:val="7155F4A4"/>
    <w:rsid w:val="71A765FE"/>
    <w:rsid w:val="71E80688"/>
    <w:rsid w:val="72474A4E"/>
    <w:rsid w:val="725E359D"/>
    <w:rsid w:val="727CBDCF"/>
    <w:rsid w:val="729FEBC5"/>
    <w:rsid w:val="72ABD949"/>
    <w:rsid w:val="72C595B0"/>
    <w:rsid w:val="72DCDA78"/>
    <w:rsid w:val="730B28E1"/>
    <w:rsid w:val="7314FE89"/>
    <w:rsid w:val="732711AD"/>
    <w:rsid w:val="7334A4AA"/>
    <w:rsid w:val="7341A048"/>
    <w:rsid w:val="73F2E74D"/>
    <w:rsid w:val="73FA53C6"/>
    <w:rsid w:val="740912E1"/>
    <w:rsid w:val="74191080"/>
    <w:rsid w:val="744605E4"/>
    <w:rsid w:val="747A058B"/>
    <w:rsid w:val="748E8673"/>
    <w:rsid w:val="74A07165"/>
    <w:rsid w:val="74B03A88"/>
    <w:rsid w:val="74B8B4F1"/>
    <w:rsid w:val="74CF9D58"/>
    <w:rsid w:val="74D6A0DB"/>
    <w:rsid w:val="74E828D8"/>
    <w:rsid w:val="74F6E9B8"/>
    <w:rsid w:val="752173CD"/>
    <w:rsid w:val="752C3E65"/>
    <w:rsid w:val="75464946"/>
    <w:rsid w:val="754D6E41"/>
    <w:rsid w:val="755EB3B8"/>
    <w:rsid w:val="7562B299"/>
    <w:rsid w:val="75A01DDB"/>
    <w:rsid w:val="75CCCA7D"/>
    <w:rsid w:val="75FC7B47"/>
    <w:rsid w:val="76081882"/>
    <w:rsid w:val="764FADA2"/>
    <w:rsid w:val="76822D55"/>
    <w:rsid w:val="783CF10E"/>
    <w:rsid w:val="78482B28"/>
    <w:rsid w:val="7877EC49"/>
    <w:rsid w:val="78B1C98A"/>
    <w:rsid w:val="791FFE86"/>
    <w:rsid w:val="792AA662"/>
    <w:rsid w:val="79511AE0"/>
    <w:rsid w:val="79809AAF"/>
    <w:rsid w:val="7A0FE0C7"/>
    <w:rsid w:val="7A20DA2A"/>
    <w:rsid w:val="7A2B27BF"/>
    <w:rsid w:val="7A3B4BA4"/>
    <w:rsid w:val="7A530CC5"/>
    <w:rsid w:val="7A62942C"/>
    <w:rsid w:val="7AA205F1"/>
    <w:rsid w:val="7AD08929"/>
    <w:rsid w:val="7ADA4978"/>
    <w:rsid w:val="7B2B3F9C"/>
    <w:rsid w:val="7B385CF6"/>
    <w:rsid w:val="7B3C39FF"/>
    <w:rsid w:val="7B44E589"/>
    <w:rsid w:val="7B498AE9"/>
    <w:rsid w:val="7B5C720A"/>
    <w:rsid w:val="7B5CA454"/>
    <w:rsid w:val="7B6C687F"/>
    <w:rsid w:val="7BF0CC30"/>
    <w:rsid w:val="7BFA6981"/>
    <w:rsid w:val="7C19D72E"/>
    <w:rsid w:val="7C1B6D3B"/>
    <w:rsid w:val="7C514CFA"/>
    <w:rsid w:val="7C7D4C7F"/>
    <w:rsid w:val="7C9FB40B"/>
    <w:rsid w:val="7CAD76E1"/>
    <w:rsid w:val="7CC1577C"/>
    <w:rsid w:val="7CE31C5F"/>
    <w:rsid w:val="7CFFC136"/>
    <w:rsid w:val="7D404F53"/>
    <w:rsid w:val="7DDA41C3"/>
    <w:rsid w:val="7E95ACF4"/>
    <w:rsid w:val="7EB6E89B"/>
    <w:rsid w:val="7ECAA6A0"/>
    <w:rsid w:val="7EDAC4F7"/>
    <w:rsid w:val="7EDAC4F7"/>
    <w:rsid w:val="7F050AE0"/>
    <w:rsid w:val="7F8CF2F6"/>
    <w:rsid w:val="7FBB7976"/>
    <w:rsid w:val="7FD4C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55C95"/>
  <w15:chartTrackingRefBased/>
  <w15:docId w15:val="{CD2414AD-5F47-4E0A-886D-24274044E4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209B6E02"/>
    <w:rPr>
      <w:rFonts w:ascii="Arial" w:hAnsi="Arial" w:eastAsia="Arial" w:cs="Arial"/>
      <w:sz w:val="20"/>
      <w:szCs w:val="20"/>
    </w:rPr>
    <w:pPr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09B6E02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209B6E02"/>
    <w:rPr>
      <w:b w:val="1"/>
      <w:bCs w:val="1"/>
      <w:i w:val="0"/>
      <w:iCs w:val="0"/>
      <w:color w:val="auto"/>
      <w:sz w:val="32"/>
      <w:szCs w:val="32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Heading1"/>
    <w:next w:val="Normal"/>
    <w:unhideWhenUsed/>
    <w:qFormat/>
    <w:rsid w:val="209B6E02"/>
    <w:rPr>
      <w:sz w:val="24"/>
      <w:szCs w:val="24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w:type="character" w:styleId="Hyperlink">
    <w:uiPriority w:val="99"/>
    <w:name w:val="Hyperlink"/>
    <w:basedOn w:val="DefaultParagraphFont"/>
    <w:unhideWhenUsed/>
    <w:rsid w:val="5B7D6C42"/>
    <w:rPr>
      <w:color w:val="467886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table" w:styleId="GridTable4" mc:Ignorable="w14">
    <w:name xmlns:w="http://schemas.openxmlformats.org/wordprocessingml/2006/main" w:val="Grid Table 4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CCCCCC" w:themeFill="text1" w:themeFillTint="33"/>
      </w:tcPr>
    </w:tblStylePr>
    <w:tblStylePr xmlns:w="http://schemas.openxmlformats.org/wordprocessingml/2006/main" w:type="band1Horz">
      <w:tblPr/>
      <w:tcPr>
        <w:shd w:val="clear" w:color="auto" w:fill="CCCCCC" w:themeFill="tex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table" w:styleId="ListTable4" mc:Ignorable="w14">
    <w:name xmlns:w="http://schemas.openxmlformats.org/wordprocessingml/2006/main" w:val="List Table 4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CCCCCC" w:themeFill="text1" w:themeFillTint="33"/>
      </w:tcPr>
    </w:tblStylePr>
    <w:tblStylePr xmlns:w="http://schemas.openxmlformats.org/wordprocessingml/2006/main" w:type="band1Horz">
      <w:tblPr/>
      <w:tcPr>
        <w:shd w:val="clear" w:color="auto" w:fill="CCCCCC" w:themeFill="tex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table" w:styleId="GridTable1Light-Accent1" mc:Ignorable="w14">
    <w:name xmlns:w="http://schemas.openxmlformats.org/wordprocessingml/2006/main" w:val="Grid Table 1 Light Accent 1"/>
    <w:basedOn xmlns:w="http://schemas.openxmlformats.org/wordprocessingml/2006/main" w:val="TableNormal"/>
    <w:uiPriority xmlns:w="http://schemas.openxmlformats.org/wordprocessingml/2006/main" w:val="46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</w:style>
  <w:style w:type="paragraph" w:styleId="Header">
    <w:uiPriority w:val="99"/>
    <w:name w:val="header"/>
    <w:basedOn w:val="Normal"/>
    <w:unhideWhenUsed/>
    <w:rsid w:val="209B6E0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09B6E0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TOC1">
    <w:uiPriority w:val="39"/>
    <w:name w:val="toc 1"/>
    <w:basedOn w:val="Normal"/>
    <w:next w:val="Normal"/>
    <w:unhideWhenUsed/>
    <w:rsid w:val="1A5EE76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84191834" /><Relationship Type="http://schemas.openxmlformats.org/officeDocument/2006/relationships/numbering" Target="numbering.xml" Id="Rcf53f36c8c994d43" /><Relationship Type="http://schemas.microsoft.com/office/2011/relationships/people" Target="people.xml" Id="R9a93db06815e479b" /><Relationship Type="http://schemas.microsoft.com/office/2011/relationships/commentsExtended" Target="commentsExtended.xml" Id="R6ee1ac9b34414fb8" /><Relationship Type="http://schemas.microsoft.com/office/2016/09/relationships/commentsIds" Target="commentsIds.xml" Id="R2836d614032345fd" /><Relationship Type="http://schemas.openxmlformats.org/officeDocument/2006/relationships/header" Target="header.xml" Id="R400c80176d694492" /><Relationship Type="http://schemas.openxmlformats.org/officeDocument/2006/relationships/footer" Target="footer.xml" Id="Rf1bb750583484ce4" /><Relationship Type="http://schemas.openxmlformats.org/officeDocument/2006/relationships/header" Target="header2.xml" Id="Ra90dc43cac144be7" /><Relationship Type="http://schemas.openxmlformats.org/officeDocument/2006/relationships/footer" Target="footer2.xml" Id="R3855cc0d1db34994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7.png" Id="rId82889672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630232E75029B468CC8AFBF631DE06F" ma:contentTypeVersion="10" ma:contentTypeDescription="Crear nuevo documento." ma:contentTypeScope="" ma:versionID="c4528bade825651501cf1e12263b4f3d">
  <xsd:schema xmlns:xsd="http://www.w3.org/2001/XMLSchema" xmlns:xs="http://www.w3.org/2001/XMLSchema" xmlns:p="http://schemas.microsoft.com/office/2006/metadata/properties" xmlns:ns2="4b8958b7-be53-41c9-b31a-88c2d4f16482" targetNamespace="http://schemas.microsoft.com/office/2006/metadata/properties" ma:root="true" ma:fieldsID="23335a883f850135a297cfedd5263e0c" ns2:_="">
    <xsd:import namespace="4b8958b7-be53-41c9-b31a-88c2d4f164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8958b7-be53-41c9-b31a-88c2d4f164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b8958b7-be53-41c9-b31a-88c2d4f1648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49B6F12-43FF-4317-9C91-C9A0B20137B3}"/>
</file>

<file path=customXml/itemProps2.xml><?xml version="1.0" encoding="utf-8"?>
<ds:datastoreItem xmlns:ds="http://schemas.openxmlformats.org/officeDocument/2006/customXml" ds:itemID="{74B15D2E-96AF-491E-A4D5-7EB7E4AD1819}"/>
</file>

<file path=customXml/itemProps3.xml><?xml version="1.0" encoding="utf-8"?>
<ds:datastoreItem xmlns:ds="http://schemas.openxmlformats.org/officeDocument/2006/customXml" ds:itemID="{16B57101-4E19-447D-B8CD-BA7F45766CB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ALEJANDRO PONCE SANCHEZ</dc:creator>
  <cp:keywords/>
  <dc:description/>
  <cp:lastModifiedBy>LUIS ALEJANDRO PONCE SANCHEZ</cp:lastModifiedBy>
  <dcterms:created xsi:type="dcterms:W3CDTF">2025-10-29T02:45:20Z</dcterms:created>
  <dcterms:modified xsi:type="dcterms:W3CDTF">2025-12-29T04:10:46Z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0x0101005630232E75029B468CC8AFBF631DE06F</vt:lpwstr>
  </property>
  <property fmtid="{D5CDD505-2E9C-101B-9397-08002B2CF9AE}" pid="3" name="MediaServiceImageTags">
    <vt:lpwstr/>
  </property>
</Properties>
</file>