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3A3F"/>
          <w:sz w:val="34"/>
          <w:szCs w:val="34"/>
        </w:rPr>
        <w:t xml:space="preserve">Freight Rate Prediction — Approach &amp; Results</w:t>
      </w:r>
    </w:p>
    <w:p>
      <w:pPr>
        <w:spacing w:after="240"/>
      </w:pPr>
      <w:r>
        <w:rPr>
          <w:i/>
          <w:iCs/>
          <w:color w:val="455A60"/>
          <w:sz w:val="22"/>
          <w:szCs w:val="22"/>
        </w:rPr>
        <w:t xml:space="preserve">Machine Learning Engineer Assessment — Spotter</w:t>
      </w:r>
    </w:p>
    <w:p>
      <w:pPr>
        <w:pStyle w:val="Heading1"/>
        <w:spacing w:after="120" w:before="240"/>
      </w:pPr>
      <w:r>
        <w:t xml:space="preserve">1. Train / test validation approach</w:t>
      </w:r>
    </w:p>
    <w:p>
      <w:pPr>
        <w:spacing w:after="120"/>
      </w:pPr>
      <w:r>
        <w:t xml:space="preserve">train_test.csv covers Jan 1 – Oct 31, 2025 (48,000 loads); the final validation.csv set to score (12,000 loads) covers Nov 1 – Dec 31, 2025 — dates the model never sees during development. A random row-wise split would let the model “see” every month during training and understate real error on genuinely future loads, so an out-of-time split was used instead: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Train: Jan 1 – Aug 31, 2025 (38,477 rows)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Held-out test: Sep 1 – Oct 31, 2025 (9,523 rows, never used in training or imputation)</w:t>
      </w:r>
    </w:p>
    <w:p>
      <w:pPr>
        <w:spacing w:after="120"/>
      </w:pPr>
      <w:r>
        <w:t xml:space="preserve">All medians used for missing-value imputation were computed on the training rows only, so no information from the held-out period (or from validation.csv) leaks into preprocessing. Once the candidate models were compared on this held-out split, the winning model was refit on the full train_test.csv (Jan–Oct) before generating the actual validation.csv and December predictions.</w:t>
      </w:r>
    </w:p>
    <w:p>
      <w:pPr>
        <w:pStyle w:val="Heading1"/>
        <w:spacing w:after="120" w:before="240"/>
      </w:pPr>
      <w:r>
        <w:t xml:space="preserve">2. Key findings from data exploration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posted_rate is strongly driven by distance, but non-linearly: rate-per-mile falls as distance grows (economies of scale), so log(distance) explains log(posted_rate) far better than a linear distance term (R² ≈ 0.94 in an OLS log-log check, vs. ≈ 0.83 for a plain linear fit).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Equipment type shifts the average rate-per-mile: Reefer &gt; Flatbed &gt; Dry Van (~$2.38, $2.29, $2.12 per mile on average).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market_index and quote_signal each add a small but real amount of explanatory power on top of distance and equipment.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There is a mild upward drift in rates across the training months (Jan → Oct), consistent with a seasonal/inflationary trend; day-of-week has almost no effect.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64 pickup/delivery cities appear in train_test.csv. validation.csv introduces 8 cities never seen in training (e.g. Chicago, Charlotte, San Diego) — any model relying on city identity directly (e.g. target-encoded city) would have no signal for these rows, so lane geometry (distance, lat/lon) was used instead of city identity.</w:t>
      </w:r>
    </w:p>
    <w:p>
      <w:pPr>
        <w:pStyle w:val="Heading1"/>
        <w:spacing w:after="120" w:before="240"/>
      </w:pPr>
      <w:r>
        <w:t xml:space="preserve">3. Data-quality issues identified and how they were addressed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weight values (292 of 48,000 training rows, ~0.6%; 145 of 12,000 validation rows): magnitudes were in the normal range for the field, indicating a sign-entry error rather than bad data — corrected with abs(weight) rather than dropping the rows.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weight (300 training / 165 validation rows) and missing market_index (374 training / 249 validation rows), each under 1% of rows: both fields have very weak correlation with posted_rate (|r| &lt; 0.04), so training-set median imputation was used, paired with a binary missing-value flag per field so the model can still distinguish imputed from observed rows.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duplicate load_id values, no non-positive distances or rates, and no fully duplicate rows were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distance (the field used in modeling) and the great-circle distance implied by the lat/lon columns correlate at 0.9995, confirming the coordinates and distances are mutually consistent (the ~1.18x ratio between them reflects road routing vs. straight-line distance, not a data error).</w:t>
      </w:r>
    </w:p>
    <w:p>
      <w:pPr>
        <w:pStyle w:val="Heading1"/>
        <w:spacing w:after="120" w:before="240"/>
      </w:pPr>
      <w:r>
        <w:t xml:space="preserve">4. Feature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log(distance) — primary driver, captures the economies-of-scale curve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distance, haversine great-circle distance, and their ratio (route circuity) — cross-check / redundancy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equipment (one-hot: Dry Van / Reefer / Flatbed)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weight (cleaned), with a missing-value indicator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market_index and quote_signal, each with a missing-value indicator where relevant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day_of_year, month, day_of_week — captures the mild seasonal drift observed in EDA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pickup/delivery latitude &amp; longitude directly (not city identity) — generalizes to the unseen cities in validation.csv</w:t>
      </w:r>
    </w:p>
    <w:p>
      <w:pPr>
        <w:pStyle w:val="Heading1"/>
        <w:spacing w:after="120" w:before="240"/>
      </w:pPr>
      <w:r>
        <w:t xml:space="preserve">5. Model selection</w:t>
      </w:r>
    </w:p>
    <w:p>
      <w:pPr>
        <w:spacing w:after="120"/>
      </w:pPr>
      <w:r>
        <w:t xml:space="preserve">Three candidates were trained on the Jan–Aug split and scored on the held-out Sep–Oct split, all on log(posted_rate):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3A3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16"/>
            <w:shd w:fill="1F3A3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MAE ($)</w:t>
            </w:r>
          </w:p>
        </w:tc>
        <w:tc>
          <w:tcPr>
            <w:tcW w:type="dxa" w:w="2016"/>
            <w:shd w:fill="1F3A3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RMSE ($)</w:t>
            </w:r>
          </w:p>
        </w:tc>
        <w:tc>
          <w:tcPr>
            <w:tcW w:type="dxa" w:w="2016"/>
            <w:shd w:fill="1F3A3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MAPE</w:t>
            </w:r>
          </w:p>
        </w:tc>
        <w:tc>
          <w:tcPr>
            <w:tcW w:type="dxa" w:w="2016"/>
            <w:shd w:fill="1F3A3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Ridge (chosen)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107.93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633.23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4.77%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0.8278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133.36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638.17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5.86%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0.8251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HistGradientBoosting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117.32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636.37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5.09%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0.8261</w:t>
            </w:r>
          </w:p>
        </w:tc>
      </w:tr>
    </w:tbl>
    <w:p>
      <w:pPr>
        <w:spacing w:after="160" w:before="160"/>
      </w:pPr>
    </w:p>
    <w:p>
      <w:pPr>
        <w:spacing w:after="120"/>
      </w:pPr>
      <w:r>
        <w:t xml:space="preserve">Ridge regression (with feature standardization, α selected by cross-validation) had the lowest MAE and highest R² of the three, matching the earlier EDA finding that log(rate) is close to log-linear in distance plus a handful of secondary features. Random Forest and HistGradientBoosting did not improve on this — the extra model flexibility mainly fit training-set noise rather than generalizable structure. Ridge was also preferred for a practical reason specific to this task: tree ensembles cannot extrapolate a trend past the maximum date seen in training, whereas a linear day-of-year term in Ridge extends smoothly into November/December, which is exactly the period being forecast. Ridge (log-target, α = 10, refit on all of train_test.csv) is the final model used for both validation_predictions.csv and the December forecast.</w:t>
      </w:r>
    </w:p>
    <w:p>
      <w:pPr>
        <w:pStyle w:val="Heading1"/>
        <w:spacing w:after="120" w:before="240"/>
      </w:pPr>
      <w:r>
        <w:t xml:space="preserve">6. December 2025 forecast — Lexington → Fort Wayne, Dry Van, 360 mi, 32,000 lb</w:t>
      </w:r>
    </w:p>
    <w:p>
      <w:pPr>
        <w:spacing w:after="120"/>
      </w:pPr>
      <w:r>
        <w:t xml:space="preserve">This exact lane/equipment/weight combination appears 67 times across the training months, so the December forecast is a genuine interpolation rather than an extrapolation into unfamiliar lane space. market_index and quote_signal (not provided for December) were set to their most recent (October) training-set averages as the best available proxy for prevailing market conditions.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455A60"/>
          <w:sz w:val="20"/>
          <w:szCs w:val="20"/>
        </w:rPr>
        <w:t xml:space="preserve">The forecast shows a gentle, steady increase across December (~$836 → ~$850, +1.7%) consistent with the mild time trend the model learned from the Jan–Oct data, plus a small day-of-week ripple.</w:t>
      </w:r>
    </w:p>
    <w:p>
      <w:pPr>
        <w:pStyle w:val="Heading1"/>
        <w:spacing w:after="120" w:before="240"/>
      </w:pPr>
      <w:r>
        <w:t xml:space="preserve">7. Code walkthrough (see repository for full detail)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src/features.py — shared cleaning (abs(weight)) and feature-engineering logic used identically for train, held-out test, validation, and December data, so there is no train/serve skew.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src/train.py — loads train_test.csv, performs the Jan–Aug/Sep–Oct split, fits and compares the three candidate models, refits the chosen Ridge model on all of train_test.csv, and writes validation_predictions.csv and the completed December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score.py — provided validator; confirmed both output files pass its checks and used it to generate the December chart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8599570356af6d4c138a6a24e7bd9f7caf52f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2026-08-21T09:35:49.480Z</dcterms:created>
  <dcterms:modified xsi:type="dcterms:W3CDTF">2026-08-21T09:35:49.492Z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