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VASUDHA PHARMA CHEM LIMITED</w:t>
      </w:r>
    </w:p>
    <w:p>
      <w:pPr>
        <w:pStyle w:val="Heading1"/>
      </w:pPr>
      <w:r>
        <w:t>Out of Specification / Process Deviation Record</w:t>
      </w:r>
    </w:p>
    <w:p>
      <w:r>
        <w:rPr>
          <w:b/>
        </w:rPr>
        <w:t xml:space="preserve">Site / Plant: </w:t>
      </w:r>
      <w:r>
        <w:t>QC Lab</w:t>
        <w:br/>
      </w:r>
      <w:r>
        <w:rPr>
          <w:b/>
        </w:rPr>
        <w:t xml:space="preserve">Date of Occurrence: </w:t>
      </w:r>
      <w:r>
        <w:t>18-09-2024</w:t>
        <w:br/>
      </w:r>
      <w:r>
        <w:rPr>
          <w:b/>
        </w:rPr>
        <w:t xml:space="preserve">Source: </w:t>
      </w:r>
      <w:r>
        <w:t>QC Lab</w:t>
        <w:br/>
      </w:r>
      <w:r>
        <w:rPr>
          <w:b/>
        </w:rPr>
        <w:t xml:space="preserve">Related Product: </w:t>
      </w:r>
      <w:r>
        <w:t>Paracetamol API (BP/USP)</w:t>
        <w:br/>
      </w:r>
      <w:r>
        <w:rPr>
          <w:b/>
        </w:rPr>
        <w:t xml:space="preserve">Batch / Lot Number: </w:t>
      </w:r>
      <w:r>
        <w:t>PCM-2024-B88</w:t>
        <w:br/>
      </w:r>
      <w:r>
        <w:rPr>
          <w:b/>
        </w:rPr>
        <w:t xml:space="preserve">Title: </w:t>
      </w:r>
      <w:r>
        <w:t>OOS Result for Assay by HPLC in Batch PCM-2024-B88</w:t>
        <w:br/>
      </w:r>
    </w:p>
    <w:p>
      <w:pPr>
        <w:pStyle w:val="Heading2"/>
      </w:pPr>
      <w:r>
        <w:t>Event Details:</w:t>
      </w:r>
    </w:p>
    <w:p>
      <w:r>
        <w:t>During routine finished API release testing of Paracetamol API batch PCM-2024-B88, the HPLC assay result obtained was 97.4% w/w on anhydrous basis against the release specification of 99.0% - 101.0% w/w. A confirmatory re-injection from the same vial yielded 97.5% w/w. System suitability criteria were met. Initial impact is Major and initial severity is High. Phase I laboratory investigation has been initiated to rule out analyst and instrument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