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6E3BC" w14:textId="26D2C467" w:rsidR="00A047B6" w:rsidRPr="00A047B6" w:rsidRDefault="00A047B6" w:rsidP="00A047B6">
      <w:pPr>
        <w:rPr>
          <w:rFonts w:ascii="Calibri" w:hAnsi="Calibri" w:cs="Calibri"/>
          <w:b/>
          <w:bCs/>
          <w:sz w:val="36"/>
          <w:szCs w:val="36"/>
        </w:rPr>
      </w:pPr>
      <w:r w:rsidRPr="00A047B6">
        <w:rPr>
          <w:rFonts w:ascii="Calibri" w:hAnsi="Calibri" w:cs="Calibri"/>
          <w:b/>
          <w:bCs/>
          <w:sz w:val="36"/>
          <w:szCs w:val="36"/>
        </w:rPr>
        <w:t>Egypt's Fertilizer Industry</w:t>
      </w:r>
    </w:p>
    <w:p w14:paraId="7854EACD" w14:textId="3E1A6C51" w:rsidR="00A047B6" w:rsidRPr="00A047B6" w:rsidRDefault="00A047B6" w:rsidP="00A047B6">
      <w:pPr>
        <w:rPr>
          <w:rFonts w:ascii="Calibri" w:hAnsi="Calibri" w:cs="Calibri"/>
          <w:sz w:val="20"/>
          <w:szCs w:val="20"/>
        </w:rPr>
      </w:pPr>
      <w:r w:rsidRPr="00A047B6">
        <w:rPr>
          <w:rFonts w:ascii="Calibri" w:hAnsi="Calibri" w:cs="Calibri"/>
          <w:sz w:val="20"/>
          <w:szCs w:val="20"/>
        </w:rPr>
        <w:t>William S. Davis III Sept 4</w:t>
      </w:r>
      <w:r w:rsidRPr="00A047B6">
        <w:rPr>
          <w:rFonts w:ascii="Calibri" w:hAnsi="Calibri" w:cs="Calibri"/>
          <w:sz w:val="20"/>
          <w:szCs w:val="20"/>
          <w:vertAlign w:val="superscript"/>
        </w:rPr>
        <w:t>th</w:t>
      </w:r>
      <w:r w:rsidRPr="00A047B6">
        <w:rPr>
          <w:rFonts w:ascii="Calibri" w:hAnsi="Calibri" w:cs="Calibri"/>
          <w:sz w:val="20"/>
          <w:szCs w:val="20"/>
        </w:rPr>
        <w:t>, 2025</w:t>
      </w:r>
    </w:p>
    <w:p w14:paraId="48CB5BDE" w14:textId="77777777" w:rsidR="00A047B6" w:rsidRPr="00A047B6" w:rsidRDefault="00A047B6" w:rsidP="00A047B6">
      <w:pPr>
        <w:rPr>
          <w:rFonts w:ascii="Calibri" w:hAnsi="Calibri" w:cs="Calibri"/>
          <w:b/>
          <w:bCs/>
          <w:sz w:val="32"/>
          <w:szCs w:val="32"/>
        </w:rPr>
      </w:pPr>
      <w:r w:rsidRPr="00A047B6">
        <w:rPr>
          <w:rFonts w:ascii="Calibri" w:hAnsi="Calibri" w:cs="Calibri"/>
          <w:b/>
          <w:bCs/>
          <w:sz w:val="32"/>
          <w:szCs w:val="32"/>
        </w:rPr>
        <w:t>Executive Summary</w:t>
      </w:r>
    </w:p>
    <w:p w14:paraId="3C9032CF" w14:textId="71374C7A" w:rsidR="00A047B6" w:rsidRPr="00A047B6" w:rsidRDefault="00A047B6" w:rsidP="00A047B6">
      <w:pPr>
        <w:rPr>
          <w:rFonts w:ascii="Calibri" w:hAnsi="Calibri" w:cs="Calibri"/>
          <w:sz w:val="20"/>
          <w:szCs w:val="20"/>
        </w:rPr>
      </w:pPr>
      <w:r w:rsidRPr="00A047B6">
        <w:rPr>
          <w:rFonts w:ascii="Calibri" w:hAnsi="Calibri" w:cs="Calibri"/>
          <w:sz w:val="20"/>
          <w:szCs w:val="20"/>
        </w:rPr>
        <w:t>Egypt has emerged as a dominant force in the global fertilizer market, achieving remarkable transformation from a net importer to the world's fifth-largest fertilizer producer and sixth-largest exporter. The country's fertilizer sector generates approximately 19 million tons of diverse fertilizers annually, with nearly half dedicated to international markets. In 2023, Egypt's fertilizer exports reached USD 2.6 billion, representing 33% of the nation's total chemicals sector exports, with ambitious targets of USD 10 billion in combined chemicals and fertilizers exports by 2025.</w:t>
      </w:r>
    </w:p>
    <w:p w14:paraId="02F9FCE7" w14:textId="717DEB1D" w:rsidR="00A047B6" w:rsidRPr="00A047B6" w:rsidRDefault="00A047B6" w:rsidP="00A047B6">
      <w:pPr>
        <w:rPr>
          <w:rFonts w:ascii="Calibri" w:hAnsi="Calibri" w:cs="Calibri"/>
          <w:sz w:val="20"/>
          <w:szCs w:val="20"/>
        </w:rPr>
      </w:pPr>
      <w:r w:rsidRPr="00A047B6">
        <w:rPr>
          <w:rFonts w:ascii="Calibri" w:hAnsi="Calibri" w:cs="Calibri"/>
          <w:sz w:val="20"/>
          <w:szCs w:val="20"/>
        </w:rPr>
        <w:drawing>
          <wp:anchor distT="0" distB="0" distL="114300" distR="114300" simplePos="0" relativeHeight="251658240" behindDoc="0" locked="0" layoutInCell="1" allowOverlap="1" wp14:anchorId="37D41043" wp14:editId="14E96D68">
            <wp:simplePos x="0" y="0"/>
            <wp:positionH relativeFrom="column">
              <wp:posOffset>2896870</wp:posOffset>
            </wp:positionH>
            <wp:positionV relativeFrom="paragraph">
              <wp:posOffset>8890</wp:posOffset>
            </wp:positionV>
            <wp:extent cx="3673475" cy="3980180"/>
            <wp:effectExtent l="0" t="0" r="3175" b="1270"/>
            <wp:wrapThrough wrapText="bothSides">
              <wp:wrapPolygon edited="0">
                <wp:start x="0" y="0"/>
                <wp:lineTo x="0" y="21504"/>
                <wp:lineTo x="21507" y="21504"/>
                <wp:lineTo x="21507" y="0"/>
                <wp:lineTo x="0" y="0"/>
              </wp:wrapPolygon>
            </wp:wrapThrough>
            <wp:docPr id="223457676" name="Picture 1" descr="A map of egyp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57676" name="Picture 1" descr="A map of egypt with different colored circl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73475" cy="3980180"/>
                    </a:xfrm>
                    <a:prstGeom prst="rect">
                      <a:avLst/>
                    </a:prstGeom>
                  </pic:spPr>
                </pic:pic>
              </a:graphicData>
            </a:graphic>
            <wp14:sizeRelH relativeFrom="margin">
              <wp14:pctWidth>0</wp14:pctWidth>
            </wp14:sizeRelH>
            <wp14:sizeRelV relativeFrom="margin">
              <wp14:pctHeight>0</wp14:pctHeight>
            </wp14:sizeRelV>
          </wp:anchor>
        </w:drawing>
      </w:r>
      <w:r w:rsidRPr="00A047B6">
        <w:rPr>
          <w:rFonts w:ascii="Calibri" w:hAnsi="Calibri" w:cs="Calibri"/>
          <w:sz w:val="20"/>
          <w:szCs w:val="20"/>
        </w:rPr>
        <w:t>The industry's success stems from Egypt's unique combination of abundant natural resources, strategic geographic positioning, and progressive government policies. The country ranks third globally in phosphate reserves with an estimated 2.8 billion tons, while substantial natural gas discoveries, particularly the 850 billion cubic meter Zohr field, provide secure feedstock for nitrogen fertilizer production. Egypt's location at the crossroads of Africa, Europe, and Asia, combined with direct access to both Mediterranean and Red Sea shipping routes, offers unparalleled market access advantages.</w:t>
      </w:r>
    </w:p>
    <w:p w14:paraId="4B67EB41"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Government initiatives have strategically focused on value-added production rather than raw material exports, implementing comprehensive economic reforms including foreign exchange liberalization, mining law modernization, and investment incentives specifically targeting fertilizer manufacturing in free trade zones. Major expansion projects totaling over USD 3 billion in investment, including the flagship USD 1.2 billion Abu </w:t>
      </w:r>
      <w:proofErr w:type="spellStart"/>
      <w:r w:rsidRPr="00A047B6">
        <w:rPr>
          <w:rFonts w:ascii="Calibri" w:hAnsi="Calibri" w:cs="Calibri"/>
          <w:sz w:val="20"/>
          <w:szCs w:val="20"/>
        </w:rPr>
        <w:t>Tartur</w:t>
      </w:r>
      <w:proofErr w:type="spellEnd"/>
      <w:r w:rsidRPr="00A047B6">
        <w:rPr>
          <w:rFonts w:ascii="Calibri" w:hAnsi="Calibri" w:cs="Calibri"/>
          <w:sz w:val="20"/>
          <w:szCs w:val="20"/>
        </w:rPr>
        <w:t xml:space="preserve"> phosphoric acid complex, position Egypt to potentially reach 25-30 million tons annual production capacity by 2030.</w:t>
      </w:r>
    </w:p>
    <w:p w14:paraId="6CB90570" w14:textId="77777777" w:rsidR="00A047B6" w:rsidRPr="00A047B6" w:rsidRDefault="00A047B6" w:rsidP="00A047B6">
      <w:pPr>
        <w:rPr>
          <w:rFonts w:ascii="Calibri" w:hAnsi="Calibri" w:cs="Calibri"/>
          <w:b/>
          <w:bCs/>
          <w:sz w:val="28"/>
          <w:szCs w:val="28"/>
        </w:rPr>
      </w:pPr>
      <w:r w:rsidRPr="00A047B6">
        <w:rPr>
          <w:rFonts w:ascii="Calibri" w:hAnsi="Calibri" w:cs="Calibri"/>
          <w:b/>
          <w:bCs/>
          <w:sz w:val="28"/>
          <w:szCs w:val="28"/>
        </w:rPr>
        <w:t>Historical Development and Modern Industrial Origins</w:t>
      </w:r>
    </w:p>
    <w:p w14:paraId="11128EF4" w14:textId="77777777" w:rsidR="00A047B6" w:rsidRPr="00A047B6" w:rsidRDefault="00A047B6" w:rsidP="00A047B6">
      <w:pPr>
        <w:rPr>
          <w:rFonts w:ascii="Calibri" w:hAnsi="Calibri" w:cs="Calibri"/>
          <w:b/>
          <w:bCs/>
          <w:i/>
          <w:iCs/>
        </w:rPr>
      </w:pPr>
      <w:r w:rsidRPr="00A047B6">
        <w:rPr>
          <w:rFonts w:ascii="Calibri" w:hAnsi="Calibri" w:cs="Calibri"/>
          <w:b/>
          <w:bCs/>
          <w:i/>
          <w:iCs/>
        </w:rPr>
        <w:t>Early Industrial Foundations (1900-1950)</w:t>
      </w:r>
    </w:p>
    <w:p w14:paraId="1002E476"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Egypt's journey in fertilizer production commenced in the early twentieth century as part of the country's broader agricultural modernization efforts. The first significant milestone occurred in 1902 when Egyptian agriculture began utilizing Chilean nitrates, marking the country's entry into modern fertilizer consumption. This early adoption reflected Egypt's recognition of the critical role that mineral nutrients would play in supporting its expanding agricultural sector and growing population.</w:t>
      </w:r>
    </w:p>
    <w:p w14:paraId="5A0330B9"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lastRenderedPageBreak/>
        <w:t>For over three decades following this initial introduction, Egypt remained entirely dependent on fertilizer imports to meet its agricultural needs. This dependency created both economic vulnerability and foreign exchange pressures, particularly as the country's agricultural output expanded throughout the early 1900s. The strategic importance of developing domestic production capabilities became increasingly apparent as global supply chains faced disruptions during the interwar period.</w:t>
      </w:r>
    </w:p>
    <w:p w14:paraId="47710957"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The foundation of Egypt's domestic fertilizer industry was laid in 1936 with the commencement of local phosphate fertilizer production. This development represented a crucial shift from complete import dependence toward domestic manufacturing capability. The timing coincided with growing global recognition of phosphorus as an essential plant nutrient and increasing agricultural intensification worldwide. Egypt's abundant phosphate rock reserves, first discovered in 1897 at </w:t>
      </w:r>
      <w:proofErr w:type="spellStart"/>
      <w:r w:rsidRPr="00A047B6">
        <w:rPr>
          <w:rFonts w:ascii="Calibri" w:hAnsi="Calibri" w:cs="Calibri"/>
          <w:sz w:val="20"/>
          <w:szCs w:val="20"/>
        </w:rPr>
        <w:t>Qift</w:t>
      </w:r>
      <w:proofErr w:type="spellEnd"/>
      <w:r w:rsidRPr="00A047B6">
        <w:rPr>
          <w:rFonts w:ascii="Calibri" w:hAnsi="Calibri" w:cs="Calibri"/>
          <w:sz w:val="20"/>
          <w:szCs w:val="20"/>
        </w:rPr>
        <w:t xml:space="preserve"> Mountain near Luxor, provided the raw material foundation for this emerging industry.</w:t>
      </w:r>
    </w:p>
    <w:p w14:paraId="56802A2B" w14:textId="77777777" w:rsidR="00A047B6" w:rsidRPr="00A047B6" w:rsidRDefault="00A047B6" w:rsidP="00A047B6">
      <w:pPr>
        <w:rPr>
          <w:rFonts w:ascii="Calibri" w:hAnsi="Calibri" w:cs="Calibri"/>
          <w:b/>
          <w:bCs/>
          <w:sz w:val="28"/>
          <w:szCs w:val="28"/>
        </w:rPr>
      </w:pPr>
      <w:r w:rsidRPr="00A047B6">
        <w:rPr>
          <w:rFonts w:ascii="Calibri" w:hAnsi="Calibri" w:cs="Calibri"/>
          <w:b/>
          <w:bCs/>
          <w:sz w:val="28"/>
          <w:szCs w:val="28"/>
        </w:rPr>
        <w:t>Phosphate Discovery and Early Mining Development</w:t>
      </w:r>
    </w:p>
    <w:p w14:paraId="0DDE8C1D"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The discovery of phosphate deposits fundamentally shaped Egypt's fertilizer industry trajectory. Following the initial 1897 discovery at </w:t>
      </w:r>
      <w:proofErr w:type="spellStart"/>
      <w:r w:rsidRPr="00A047B6">
        <w:rPr>
          <w:rFonts w:ascii="Calibri" w:hAnsi="Calibri" w:cs="Calibri"/>
          <w:sz w:val="20"/>
          <w:szCs w:val="20"/>
        </w:rPr>
        <w:t>Qift</w:t>
      </w:r>
      <w:proofErr w:type="spellEnd"/>
      <w:r w:rsidRPr="00A047B6">
        <w:rPr>
          <w:rFonts w:ascii="Calibri" w:hAnsi="Calibri" w:cs="Calibri"/>
          <w:sz w:val="20"/>
          <w:szCs w:val="20"/>
        </w:rPr>
        <w:t xml:space="preserve"> Mountain, exploration efforts revealed additional reserves across Wadi al-Nil, Al-Sahara Al-</w:t>
      </w:r>
      <w:proofErr w:type="spellStart"/>
      <w:r w:rsidRPr="00A047B6">
        <w:rPr>
          <w:rFonts w:ascii="Calibri" w:hAnsi="Calibri" w:cs="Calibri"/>
          <w:sz w:val="20"/>
          <w:szCs w:val="20"/>
        </w:rPr>
        <w:t>Gharbiyah</w:t>
      </w:r>
      <w:proofErr w:type="spellEnd"/>
      <w:r w:rsidRPr="00A047B6">
        <w:rPr>
          <w:rFonts w:ascii="Calibri" w:hAnsi="Calibri" w:cs="Calibri"/>
          <w:sz w:val="20"/>
          <w:szCs w:val="20"/>
        </w:rPr>
        <w:t>, and Al-Sahara Al-</w:t>
      </w:r>
      <w:proofErr w:type="spellStart"/>
      <w:r w:rsidRPr="00A047B6">
        <w:rPr>
          <w:rFonts w:ascii="Calibri" w:hAnsi="Calibri" w:cs="Calibri"/>
          <w:sz w:val="20"/>
          <w:szCs w:val="20"/>
        </w:rPr>
        <w:t>Sharqiya</w:t>
      </w:r>
      <w:proofErr w:type="spellEnd"/>
      <w:r w:rsidRPr="00A047B6">
        <w:rPr>
          <w:rFonts w:ascii="Calibri" w:hAnsi="Calibri" w:cs="Calibri"/>
          <w:sz w:val="20"/>
          <w:szCs w:val="20"/>
        </w:rPr>
        <w:t xml:space="preserve"> regions. These discoveries established Egypt as a significant global phosphate resource holder and provided the geological foundation for the country's eventual emergence as a major fertilizer producer.</w:t>
      </w:r>
    </w:p>
    <w:p w14:paraId="2DB1FBDE"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The establishment of the Egyptian Phosphate Company in </w:t>
      </w:r>
      <w:proofErr w:type="spellStart"/>
      <w:r w:rsidRPr="00A047B6">
        <w:rPr>
          <w:rFonts w:ascii="Calibri" w:hAnsi="Calibri" w:cs="Calibri"/>
          <w:sz w:val="20"/>
          <w:szCs w:val="20"/>
        </w:rPr>
        <w:t>Safaga</w:t>
      </w:r>
      <w:proofErr w:type="spellEnd"/>
      <w:r w:rsidRPr="00A047B6">
        <w:rPr>
          <w:rFonts w:ascii="Calibri" w:hAnsi="Calibri" w:cs="Calibri"/>
          <w:sz w:val="20"/>
          <w:szCs w:val="20"/>
        </w:rPr>
        <w:t xml:space="preserve"> marked the beginning of organized commercial exploitation of these resources. The company initially focused on extracting raw materials from the Umm El-</w:t>
      </w:r>
      <w:proofErr w:type="spellStart"/>
      <w:r w:rsidRPr="00A047B6">
        <w:rPr>
          <w:rFonts w:ascii="Calibri" w:hAnsi="Calibri" w:cs="Calibri"/>
          <w:sz w:val="20"/>
          <w:szCs w:val="20"/>
        </w:rPr>
        <w:t>Hawitat</w:t>
      </w:r>
      <w:proofErr w:type="spellEnd"/>
      <w:r w:rsidRPr="00A047B6">
        <w:rPr>
          <w:rFonts w:ascii="Calibri" w:hAnsi="Calibri" w:cs="Calibri"/>
          <w:sz w:val="20"/>
          <w:szCs w:val="20"/>
        </w:rPr>
        <w:t xml:space="preserve"> region, developing critical infrastructure including railway connections to the Red Sea port of </w:t>
      </w:r>
      <w:proofErr w:type="spellStart"/>
      <w:r w:rsidRPr="00A047B6">
        <w:rPr>
          <w:rFonts w:ascii="Calibri" w:hAnsi="Calibri" w:cs="Calibri"/>
          <w:sz w:val="20"/>
          <w:szCs w:val="20"/>
        </w:rPr>
        <w:t>Safaga</w:t>
      </w:r>
      <w:proofErr w:type="spellEnd"/>
      <w:r w:rsidRPr="00A047B6">
        <w:rPr>
          <w:rFonts w:ascii="Calibri" w:hAnsi="Calibri" w:cs="Calibri"/>
          <w:sz w:val="20"/>
          <w:szCs w:val="20"/>
        </w:rPr>
        <w:t>. This early infrastructure investment demonstrated the strategic importance placed on phosphate development and established transportation networks that continue to serve the industry today.</w:t>
      </w:r>
    </w:p>
    <w:p w14:paraId="20184A7E"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The first shipments of phosphate soil were transported by rail in 1911, marking Egypt's entry into international phosphate trade. These early operations primarily focused on raw material exports rather than processed fertilizers, establishing a pattern that would persist for several decades. The Rabah area mines became particularly significant during this period, contributing to Egypt's growing reputation as a reliable phosphate supplier to international markets.</w:t>
      </w:r>
    </w:p>
    <w:p w14:paraId="5EEE8B41" w14:textId="77777777" w:rsidR="00A047B6" w:rsidRPr="00A047B6" w:rsidRDefault="00A047B6" w:rsidP="00A047B6">
      <w:pPr>
        <w:rPr>
          <w:rFonts w:ascii="Calibri" w:hAnsi="Calibri" w:cs="Calibri"/>
          <w:b/>
          <w:bCs/>
          <w:sz w:val="28"/>
          <w:szCs w:val="28"/>
        </w:rPr>
      </w:pPr>
      <w:r w:rsidRPr="00A047B6">
        <w:rPr>
          <w:rFonts w:ascii="Calibri" w:hAnsi="Calibri" w:cs="Calibri"/>
          <w:b/>
          <w:bCs/>
          <w:sz w:val="28"/>
          <w:szCs w:val="28"/>
        </w:rPr>
        <w:t>Nitrogen Fertilizer Development and Industrial Expansion (1950s-1970s)</w:t>
      </w:r>
    </w:p>
    <w:p w14:paraId="00612165"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The production of nitrogen fertilizers began in 1951, marking another crucial milestone in Egypt's fertilizer industry development. This expansion into nitrogen production reflected growing agricultural sophistication and recognition of the balanced nutrition requirements for optimal crop yields. The timing aligned with global developments in ammonia synthesis technology and increasing availability of natural gas as a feedstock.</w:t>
      </w:r>
    </w:p>
    <w:p w14:paraId="294ADEEF"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The 1960s represented a particularly dynamic period for Egyptian fertilizer industry expansion. Phosphate discoveries at </w:t>
      </w:r>
      <w:proofErr w:type="spellStart"/>
      <w:r w:rsidRPr="00A047B6">
        <w:rPr>
          <w:rFonts w:ascii="Calibri" w:hAnsi="Calibri" w:cs="Calibri"/>
          <w:sz w:val="20"/>
          <w:szCs w:val="20"/>
        </w:rPr>
        <w:t>Isna</w:t>
      </w:r>
      <w:proofErr w:type="spellEnd"/>
      <w:r w:rsidRPr="00A047B6">
        <w:rPr>
          <w:rFonts w:ascii="Calibri" w:hAnsi="Calibri" w:cs="Calibri"/>
          <w:sz w:val="20"/>
          <w:szCs w:val="20"/>
        </w:rPr>
        <w:t xml:space="preserve"> in the Nile Valley during this decade significantly expanded the country's resource base and production potential. These deposits were initially developed with Soviet technical assistance, utilizing electricity generated by the newly constructed Aswan High Dam. This collaboration demonstrated Egypt's ability to leverage international partnerships for industrial development while utilizing domestic infrastructure investments.</w:t>
      </w:r>
    </w:p>
    <w:p w14:paraId="385735FE"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The phosphate production from the </w:t>
      </w:r>
      <w:proofErr w:type="spellStart"/>
      <w:r w:rsidRPr="00A047B6">
        <w:rPr>
          <w:rFonts w:ascii="Calibri" w:hAnsi="Calibri" w:cs="Calibri"/>
          <w:sz w:val="20"/>
          <w:szCs w:val="20"/>
        </w:rPr>
        <w:t>Isna</w:t>
      </w:r>
      <w:proofErr w:type="spellEnd"/>
      <w:r w:rsidRPr="00A047B6">
        <w:rPr>
          <w:rFonts w:ascii="Calibri" w:hAnsi="Calibri" w:cs="Calibri"/>
          <w:sz w:val="20"/>
          <w:szCs w:val="20"/>
        </w:rPr>
        <w:t xml:space="preserve"> deposits was strategically directed toward four Soviet satellite states: Poland, Czechoslovakia, Hungary, and Bulgaria. This arrangement provided Egypt with secure export markets while contributing to the Eastern European agricultural development programs. The success of these arrangements </w:t>
      </w:r>
      <w:r w:rsidRPr="00A047B6">
        <w:rPr>
          <w:rFonts w:ascii="Calibri" w:hAnsi="Calibri" w:cs="Calibri"/>
          <w:sz w:val="20"/>
          <w:szCs w:val="20"/>
        </w:rPr>
        <w:lastRenderedPageBreak/>
        <w:t>established Egypt's reputation as a reliable international supplier and provided valuable experience in managing large-scale export operations.</w:t>
      </w:r>
    </w:p>
    <w:p w14:paraId="04BF17DC"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During this period, Egypt was recognized as the world's third-largest possessor of phosphate reserves, trailing only Florida and Morocco. This ranking highlighted the country's significant resource endowment and potential for industry expansion. The geopolitical context of the Cold War period created opportunities for Egypt to leverage its resources within international cooperation frameworks, contributing to both economic development and diplomatic objectives.</w:t>
      </w:r>
    </w:p>
    <w:p w14:paraId="32030A72" w14:textId="77777777" w:rsidR="00A047B6" w:rsidRPr="00A047B6" w:rsidRDefault="00A047B6" w:rsidP="00A047B6">
      <w:pPr>
        <w:rPr>
          <w:rFonts w:ascii="Calibri" w:hAnsi="Calibri" w:cs="Calibri"/>
          <w:b/>
          <w:bCs/>
          <w:sz w:val="28"/>
          <w:szCs w:val="28"/>
        </w:rPr>
      </w:pPr>
      <w:r w:rsidRPr="00A047B6">
        <w:rPr>
          <w:rFonts w:ascii="Calibri" w:hAnsi="Calibri" w:cs="Calibri"/>
          <w:b/>
          <w:bCs/>
          <w:sz w:val="28"/>
          <w:szCs w:val="28"/>
        </w:rPr>
        <w:t>Modernization and Technology Adoption (1976-2000)</w:t>
      </w:r>
    </w:p>
    <w:p w14:paraId="39B481BE"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The establishment of Abu Qir Fertilizers and Chemicals Industries Company in 1976 marked the beginning of Egypt's modern nitrogen fertilizer industry. Located at Abu Qir Bay, approximately 20 kilometers east of Alexandria, this facility represented a major technological advancement and scale expansion. The company's first ammonia-urea plant introduced world-class production technology and established operational standards that would influence industry development throughout the region.</w:t>
      </w:r>
    </w:p>
    <w:p w14:paraId="5CE2370E"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Abu Qir's development reflected Egypt's strategic decision to move beyond basic phosphate processing into sophisticated nitrogen fertilizer production. The facility's location provided excellent access to both domestic markets and international shipping routes through Alexandria port. The company's growth trajectory demonstrated the potential for Egyptian fertilizer operations to achieve international competitiveness through technology adoption and operational excellence.</w:t>
      </w:r>
    </w:p>
    <w:p w14:paraId="6D66F68A"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The subsequent decades witnessed continued expansion and modernization of Abu Qir's operations. The company developed three integrated plants producing liquid fertilizer, ammonia, urea, and ammonium nitrate. This diversified production capability enabled Abu Qir to serve multiple market segments while providing flexibility to adjust product mix based on market demand conditions. By the 2000s, Abu Qir had achieved a dominant position in Egyptian nitrogen fertilizer production, accounting for approximately 50% of the country's total nitrogen fertilizer output.</w:t>
      </w:r>
    </w:p>
    <w:p w14:paraId="220CFFE6"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The Egyptian Fertilizers Company (EFC) development beginning in 2000 represented another major advancement in Egypt's fertilizer industry modernization. Constructed by OCI in collaboration with German engineering firm Uhde, the facility incorporated state-of-the-art proven process technology. The first production line, commissioned in 2000, was followed by a second line in 2006, demonstrating sustained investment in capacity expansion and technology advancement.</w:t>
      </w:r>
    </w:p>
    <w:p w14:paraId="67C1E674"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EFC's location at Ain Al-Sokhna port provided exceptional logistical advantages, particularly for export operations. The facility's positioning approximately 55 kilometers south of the Suez Canal at the heart of the global East-West trade route created significant freight cost advantages compared to other Middle Eastern and Asian urea producers. This strategic positioning enabled EFC to compete effectively in global markets while serving domestic demand requirements.</w:t>
      </w:r>
    </w:p>
    <w:p w14:paraId="14B2F06C" w14:textId="77777777" w:rsidR="00A047B6" w:rsidRPr="00A047B6" w:rsidRDefault="00A047B6" w:rsidP="00A047B6">
      <w:pPr>
        <w:rPr>
          <w:rFonts w:ascii="Calibri" w:hAnsi="Calibri" w:cs="Calibri"/>
          <w:b/>
          <w:bCs/>
          <w:sz w:val="28"/>
          <w:szCs w:val="28"/>
        </w:rPr>
      </w:pPr>
      <w:r w:rsidRPr="00A047B6">
        <w:rPr>
          <w:rFonts w:ascii="Calibri" w:hAnsi="Calibri" w:cs="Calibri"/>
          <w:b/>
          <w:bCs/>
          <w:sz w:val="28"/>
          <w:szCs w:val="28"/>
        </w:rPr>
        <w:t>Current Industry Structure and Major Players</w:t>
      </w:r>
    </w:p>
    <w:p w14:paraId="2FBE1183" w14:textId="77777777" w:rsidR="00A047B6" w:rsidRPr="00A047B6" w:rsidRDefault="00A047B6" w:rsidP="00A047B6">
      <w:pPr>
        <w:rPr>
          <w:rFonts w:ascii="Calibri" w:hAnsi="Calibri" w:cs="Calibri"/>
          <w:b/>
          <w:bCs/>
          <w:i/>
          <w:iCs/>
        </w:rPr>
      </w:pPr>
      <w:r w:rsidRPr="00A047B6">
        <w:rPr>
          <w:rFonts w:ascii="Calibri" w:hAnsi="Calibri" w:cs="Calibri"/>
          <w:b/>
          <w:bCs/>
          <w:i/>
          <w:iCs/>
        </w:rPr>
        <w:t>Market Leadership and Production Capacity</w:t>
      </w:r>
    </w:p>
    <w:p w14:paraId="29B2A3DC"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Egypt's fertilizer industry currently operates through a sophisticated network of integrated production facilities serving both domestic and international markets. The sector's production capacity has reached approximately 19 million tons annually across nitrogen, phosphate, and compound fertilizers, with nearly 50% dedicated to export </w:t>
      </w:r>
      <w:r w:rsidRPr="00A047B6">
        <w:rPr>
          <w:rFonts w:ascii="Calibri" w:hAnsi="Calibri" w:cs="Calibri"/>
          <w:sz w:val="20"/>
          <w:szCs w:val="20"/>
        </w:rPr>
        <w:lastRenderedPageBreak/>
        <w:t>markets. This scale places Egypt among the world's leading fertilizer producers and establishes the country as a critical supplier to global agricultural markets.</w:t>
      </w:r>
    </w:p>
    <w:p w14:paraId="4544FD86"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The industry structure combines state-owned enterprises, private companies, and international joint ventures, creating a dynamic competitive environment that has driven efficiency improvements and technological advancement. The Ministry of Petroleum and Mineral Resources oversees sector development through five independently managed entities, including the Egyptian General Petroleum Corporation (EGPC), Egyptian Natural Gas Holding Company (EGAS), and Egyptian Mineral Resources Authority (EMRA).</w:t>
      </w:r>
    </w:p>
    <w:p w14:paraId="02BEC5EA"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The mixed ownership structure has facilitated significant foreign investment and technology transfer while maintaining strategic government oversight of key assets. International partnerships have provided access to world-class technology, management expertise, and global marketing capabilities, contributing to the industry's remarkable growth trajectory and export success.</w:t>
      </w:r>
    </w:p>
    <w:p w14:paraId="6BBB5961" w14:textId="77777777" w:rsidR="00A047B6" w:rsidRPr="00A047B6" w:rsidRDefault="00A047B6" w:rsidP="00A047B6">
      <w:pPr>
        <w:rPr>
          <w:rFonts w:ascii="Calibri" w:hAnsi="Calibri" w:cs="Calibri"/>
          <w:b/>
          <w:bCs/>
          <w:i/>
          <w:iCs/>
        </w:rPr>
      </w:pPr>
      <w:r w:rsidRPr="00A047B6">
        <w:rPr>
          <w:rFonts w:ascii="Calibri" w:hAnsi="Calibri" w:cs="Calibri"/>
          <w:b/>
          <w:bCs/>
          <w:i/>
          <w:iCs/>
        </w:rPr>
        <w:t>Abu Qir Fertilizers and Chemical Industries Company</w:t>
      </w:r>
    </w:p>
    <w:p w14:paraId="0D60C100"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Abu Qir Fertilizers remains one of Egypt's most significant nitrogen fertilizer producers, operating three integrated production plants at Al Tabia, Alexandria. The company's total ammonia production capacity reaches 785,000 metric tons per year across Abu Qir I (420,000 t/yr) and Abu Qir II (365,000 t/yr) plants. Urea production capacity totals 1,004,000 metric tons annually through Abu Qir I (566,000 t/yr) and Abu Qir III (438,000 t/yr) facilities, while ammonium nitrate production capacity of 876,000 tons per year positions the company as a major supplier to both domestic and international markets.</w:t>
      </w:r>
    </w:p>
    <w:p w14:paraId="53D8D0A0"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The company's ownership structure reflects Egypt's mixed economy approach, with private and public interests holding 80.9% and the Egyptian General Petroleum Corporation maintaining a 19.1% stake. This structure has enabled Abu Qir to maintain operational flexibility while benefiting from government support for strategic initiatives and export development programs.</w:t>
      </w:r>
    </w:p>
    <w:p w14:paraId="3FC869BC"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Abu Qir's production facilities incorporate modern process technology and environmental management systems, including ISO 9001 quality management, ISO 14001 environmental management, and OHSAS 18001 occupational health and safety standards. The company was among the first Egyptian fertilizer producers to achieve comprehensive international certification, demonstrating its commitment to operational excellence and global competitiveness.</w:t>
      </w:r>
    </w:p>
    <w:p w14:paraId="068D2273"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The company's strategic location near Alexandria provides excellent access to Mediterranean markets while serving as a major supplier to domestic agricultural regions throughout the Nile Delta and Valley. Abu Qir's export operations have expanded significantly in recent years, with products reaching markets across Europe, Africa, and the Middle East through established distribution networks and trading relationships.</w:t>
      </w:r>
    </w:p>
    <w:p w14:paraId="6F6F3E63" w14:textId="77777777" w:rsidR="00A047B6" w:rsidRPr="00A047B6" w:rsidRDefault="00A047B6" w:rsidP="00A047B6">
      <w:pPr>
        <w:rPr>
          <w:rFonts w:ascii="Calibri" w:hAnsi="Calibri" w:cs="Calibri"/>
          <w:b/>
          <w:bCs/>
          <w:i/>
          <w:iCs/>
        </w:rPr>
      </w:pPr>
      <w:r w:rsidRPr="00A047B6">
        <w:rPr>
          <w:rFonts w:ascii="Calibri" w:hAnsi="Calibri" w:cs="Calibri"/>
          <w:b/>
          <w:bCs/>
          <w:i/>
          <w:iCs/>
        </w:rPr>
        <w:t>Misr Fertilizers Production Company (MOPCO)</w:t>
      </w:r>
    </w:p>
    <w:p w14:paraId="19B9470A"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Misr Fertilizers Production Company represents one of Egypt's most ambitious fertilizer industry expansion projects, located in the Damietta Free Zone with exceptional access to international markets. The company's current production capacity includes 2 million metric tons per year of urea and 876,000 metric tons annually of ammonia, making it among the largest single-site fertilizer producers in the Middle East and North Africa region.</w:t>
      </w:r>
    </w:p>
    <w:p w14:paraId="73E713D6"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MOPCO's ownership structure demonstrates successful public-private partnership, with the Egyptian Petrochemical Holdings Company (ECHEM) holding 30.75%, National Investment Bank 12.82%, Egyptian Natural Gas Holding Company (EGAS) 7.62%, Egyptian Company for Natural Gas 5.72%, and various other investors comprising 17.10%. </w:t>
      </w:r>
      <w:r w:rsidRPr="00A047B6">
        <w:rPr>
          <w:rFonts w:ascii="Calibri" w:hAnsi="Calibri" w:cs="Calibri"/>
          <w:sz w:val="20"/>
          <w:szCs w:val="20"/>
        </w:rPr>
        <w:lastRenderedPageBreak/>
        <w:t>This diversified ownership has provided stable financial backing for major expansion projects while ensuring strategic alignment with national industrial development objectives.</w:t>
      </w:r>
    </w:p>
    <w:p w14:paraId="02F0E458"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The company recently completed a major expansion program that tripled its urea production capacity from 650,000 to 2 million tons per year through a USD 2 billion investment in modernization and new ammonia production units. This expansion established MOPCO as a major force in global urea markets while significantly enhancing Egypt's export capabilities and foreign exchange earnings.</w:t>
      </w:r>
    </w:p>
    <w:p w14:paraId="6E74B126"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MOPCO's Damietta location provides optimal logistics for export operations, with dedicated port facilities and direct shipping access to European, Mediterranean, and global markets. The company's modern production facilities incorporate advanced environmental controls and energy efficiency systems, positioning MOPCO as a leader in sustainable fertilizer production practices within the region.</w:t>
      </w:r>
    </w:p>
    <w:p w14:paraId="0DBCECF4" w14:textId="77777777" w:rsidR="00A047B6" w:rsidRPr="00A047B6" w:rsidRDefault="00A047B6" w:rsidP="00A047B6">
      <w:pPr>
        <w:rPr>
          <w:rFonts w:ascii="Calibri" w:hAnsi="Calibri" w:cs="Calibri"/>
          <w:b/>
          <w:bCs/>
          <w:i/>
          <w:iCs/>
        </w:rPr>
      </w:pPr>
      <w:r w:rsidRPr="00A047B6">
        <w:rPr>
          <w:rFonts w:ascii="Calibri" w:hAnsi="Calibri" w:cs="Calibri"/>
          <w:b/>
          <w:bCs/>
          <w:i/>
          <w:iCs/>
        </w:rPr>
        <w:t xml:space="preserve">OCI N.V. and </w:t>
      </w:r>
      <w:proofErr w:type="spellStart"/>
      <w:r w:rsidRPr="00A047B6">
        <w:rPr>
          <w:rFonts w:ascii="Calibri" w:hAnsi="Calibri" w:cs="Calibri"/>
          <w:b/>
          <w:bCs/>
          <w:i/>
          <w:iCs/>
        </w:rPr>
        <w:t>Fertiglobe</w:t>
      </w:r>
      <w:proofErr w:type="spellEnd"/>
      <w:r w:rsidRPr="00A047B6">
        <w:rPr>
          <w:rFonts w:ascii="Calibri" w:hAnsi="Calibri" w:cs="Calibri"/>
          <w:b/>
          <w:bCs/>
          <w:i/>
          <w:iCs/>
        </w:rPr>
        <w:t>: Strategic Market Leadership</w:t>
      </w:r>
    </w:p>
    <w:p w14:paraId="23DB17A5" w14:textId="77777777" w:rsidR="00A047B6" w:rsidRPr="00A047B6" w:rsidRDefault="00A047B6" w:rsidP="00A047B6">
      <w:pPr>
        <w:rPr>
          <w:rFonts w:ascii="Calibri" w:hAnsi="Calibri" w:cs="Calibri"/>
          <w:b/>
          <w:bCs/>
          <w:i/>
          <w:iCs/>
          <w:sz w:val="20"/>
          <w:szCs w:val="20"/>
        </w:rPr>
      </w:pPr>
      <w:r w:rsidRPr="00A047B6">
        <w:rPr>
          <w:rFonts w:ascii="Calibri" w:hAnsi="Calibri" w:cs="Calibri"/>
          <w:b/>
          <w:bCs/>
          <w:i/>
          <w:iCs/>
          <w:sz w:val="20"/>
          <w:szCs w:val="20"/>
        </w:rPr>
        <w:t>Corporate Evolution and Strategic Development</w:t>
      </w:r>
    </w:p>
    <w:p w14:paraId="2726E7F7"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OCI N.V., the Amsterdam-headquartered global nitrogen fertilizer and methanol producer, emerged as the dominant player in Egypt's fertilizer industry through a carefully orchestrated expansion strategy beginning in 2005. The company's entry into the Egyptian market marked a transformational period for both OCI's global operations and Egypt's fertilizer industry development, ultimately creating one of the world's most strategically positioned nitrogen fertilizer platforms.</w:t>
      </w:r>
    </w:p>
    <w:p w14:paraId="1A9DAC19"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OCI's initial investment involved acquiring a 30% stake in Egypt Basic Industries Corporation (EBIC) while simultaneously undertaking construction of this world-class ammonia production facility. This dual approach of equity participation and greenfield development demonstrated OCI's long-term commitment to the Egyptian market while providing the company with direct operational control over critical production assets. The strategic partnership with leading international engineering firms, particularly KBR and Uhde, ensured that Egyptian facilities incorporated the most advanced commercially proven technologies available globally.</w:t>
      </w:r>
    </w:p>
    <w:p w14:paraId="2DE00BDB"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The company's Egyptian expansion accelerated in 2008 with the full acquisition of Egyptian Fertilizers Company (EFC), providing OCI with integrated ammonia and urea production capabilities at the strategically located Ain Al-Sokhna industrial complex. This acquisition created significant operational synergies between EBIC's ammonia production and EFC's urea manufacturing, enabling optimized feedstock utilization and enhanced production flexibility across the combined platform.</w:t>
      </w:r>
    </w:p>
    <w:p w14:paraId="0733A30F"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By 2019, OCI's Egyptian operations had evolved into one of the company's most valuable and strategically important asset bases. The formation of </w:t>
      </w:r>
      <w:proofErr w:type="spellStart"/>
      <w:r w:rsidRPr="00A047B6">
        <w:rPr>
          <w:rFonts w:ascii="Calibri" w:hAnsi="Calibri" w:cs="Calibri"/>
          <w:sz w:val="20"/>
          <w:szCs w:val="20"/>
        </w:rPr>
        <w:t>Fertiglobe</w:t>
      </w:r>
      <w:proofErr w:type="spellEnd"/>
      <w:r w:rsidRPr="00A047B6">
        <w:rPr>
          <w:rFonts w:ascii="Calibri" w:hAnsi="Calibri" w:cs="Calibri"/>
          <w:sz w:val="20"/>
          <w:szCs w:val="20"/>
        </w:rPr>
        <w:t xml:space="preserve"> as a 50-50 joint venture with Abu Dhabi National Oil Company (ADNOC) represented a strategic milestone that combined OCI's operational expertise with ADNOC's financial resources and regional market knowledge. This partnership created the world's largest seaborne exporter of urea and ammonia while providing enhanced access to both established and emerging markets.</w:t>
      </w:r>
    </w:p>
    <w:p w14:paraId="63032966"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The completion of ADNOC's acquisition of OCI's 50% </w:t>
      </w:r>
      <w:proofErr w:type="spellStart"/>
      <w:r w:rsidRPr="00A047B6">
        <w:rPr>
          <w:rFonts w:ascii="Calibri" w:hAnsi="Calibri" w:cs="Calibri"/>
          <w:sz w:val="20"/>
          <w:szCs w:val="20"/>
        </w:rPr>
        <w:t>Fertiglobe</w:t>
      </w:r>
      <w:proofErr w:type="spellEnd"/>
      <w:r w:rsidRPr="00A047B6">
        <w:rPr>
          <w:rFonts w:ascii="Calibri" w:hAnsi="Calibri" w:cs="Calibri"/>
          <w:sz w:val="20"/>
          <w:szCs w:val="20"/>
        </w:rPr>
        <w:t xml:space="preserve"> stake in October 2024 for USD 3.62 billion marked the culmination of this strategic evolution. Under ADNOC ownership, </w:t>
      </w:r>
      <w:proofErr w:type="spellStart"/>
      <w:r w:rsidRPr="00A047B6">
        <w:rPr>
          <w:rFonts w:ascii="Calibri" w:hAnsi="Calibri" w:cs="Calibri"/>
          <w:sz w:val="20"/>
          <w:szCs w:val="20"/>
        </w:rPr>
        <w:t>Fertiglobe's</w:t>
      </w:r>
      <w:proofErr w:type="spellEnd"/>
      <w:r w:rsidRPr="00A047B6">
        <w:rPr>
          <w:rFonts w:ascii="Calibri" w:hAnsi="Calibri" w:cs="Calibri"/>
          <w:sz w:val="20"/>
          <w:szCs w:val="20"/>
        </w:rPr>
        <w:t xml:space="preserve"> Egyptian operations continue to benefit from world-class management, advanced technology, and substantial financial backing while maintaining their position as Egypt's largest and most sophisticated fertilizer production platform.</w:t>
      </w:r>
    </w:p>
    <w:p w14:paraId="091BE03C" w14:textId="77777777" w:rsidR="0096209C" w:rsidRDefault="0096209C" w:rsidP="00A047B6">
      <w:pPr>
        <w:rPr>
          <w:rFonts w:ascii="Calibri" w:hAnsi="Calibri" w:cs="Calibri"/>
          <w:sz w:val="20"/>
          <w:szCs w:val="20"/>
        </w:rPr>
      </w:pPr>
    </w:p>
    <w:p w14:paraId="03FA8DB2" w14:textId="77777777" w:rsidR="0096209C" w:rsidRDefault="0096209C" w:rsidP="00A047B6">
      <w:pPr>
        <w:rPr>
          <w:rFonts w:ascii="Calibri" w:hAnsi="Calibri" w:cs="Calibri"/>
          <w:sz w:val="20"/>
          <w:szCs w:val="20"/>
        </w:rPr>
      </w:pPr>
    </w:p>
    <w:p w14:paraId="0B581BAE" w14:textId="0D760716" w:rsidR="00A047B6" w:rsidRPr="00A047B6" w:rsidRDefault="00A047B6" w:rsidP="00A047B6">
      <w:pPr>
        <w:rPr>
          <w:rFonts w:ascii="Calibri" w:hAnsi="Calibri" w:cs="Calibri"/>
          <w:b/>
          <w:bCs/>
          <w:i/>
          <w:iCs/>
          <w:sz w:val="20"/>
          <w:szCs w:val="20"/>
        </w:rPr>
      </w:pPr>
      <w:r w:rsidRPr="00A047B6">
        <w:rPr>
          <w:rFonts w:ascii="Calibri" w:hAnsi="Calibri" w:cs="Calibri"/>
          <w:b/>
          <w:bCs/>
          <w:i/>
          <w:iCs/>
          <w:sz w:val="20"/>
          <w:szCs w:val="20"/>
        </w:rPr>
        <w:lastRenderedPageBreak/>
        <w:t>Egypt Basic Industries Corporation (EBIC) Operations</w:t>
      </w:r>
    </w:p>
    <w:p w14:paraId="4E2A8BB8"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EBIC represents one of the most technologically advanced ammonia production facilities globally, with annual production capacity of 748,000 metric tons of anhydrous ammonia. Located within the Ain Al-Sokhna Industrial Development Company (SIDC) complex, approximately 55 kilometers south of the Suez Canal, EBIC occupies a strategically positioned site that provides exceptional logistics advantages for both regional and global market access.</w:t>
      </w:r>
    </w:p>
    <w:p w14:paraId="513F03CF"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The facility utilizes KBR's Advanced Ammonia Process (KAAP) technology, representing the latest generation of commercially proven ammonia synthesis technology. This advanced process design provides superior energy efficiency, environmental performance, and operational reliability compared to older ammonia production technologies. The selection of KAAP technology reflected OCI's commitment to operational excellence and long-term competitiveness in global ammonia markets.</w:t>
      </w:r>
    </w:p>
    <w:p w14:paraId="7982009A"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EBIC's construction involved a sophisticated international partnership between OCI and a KBR-led consortium including Japanese firms Mitsubishi, JGC, and Itochu. This collaboration brought together world-class engineering expertise, advanced process technology, and proven project management capabilities to deliver a facility that achieved commercial production in May 2009, becoming the largest merchant ammonia plant of its kind in Egypt and the broader Middle East region.</w:t>
      </w:r>
    </w:p>
    <w:p w14:paraId="0B5DFD13"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The facility's export infrastructure represents a particularly significant competitive advantage. EBIC features a dedicated 8-kilometer pipeline connecting the production facility directly to a refrigerated bulk liquid ammonia export jetty on the Red Sea. This specialized infrastructure enables efficient and safe handling of anhydrous ammonia for international shipments while minimizing transportation costs and operational complexity. The export terminal can accommodate large bulk carriers, providing access to global markets with optimal shipping economics.</w:t>
      </w:r>
    </w:p>
    <w:p w14:paraId="2FC26F63"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EBIC's current ownership structure includes </w:t>
      </w:r>
      <w:proofErr w:type="spellStart"/>
      <w:r w:rsidRPr="00A047B6">
        <w:rPr>
          <w:rFonts w:ascii="Calibri" w:hAnsi="Calibri" w:cs="Calibri"/>
          <w:sz w:val="20"/>
          <w:szCs w:val="20"/>
        </w:rPr>
        <w:t>Fertiglobe</w:t>
      </w:r>
      <w:proofErr w:type="spellEnd"/>
      <w:r w:rsidRPr="00A047B6">
        <w:rPr>
          <w:rFonts w:ascii="Calibri" w:hAnsi="Calibri" w:cs="Calibri"/>
          <w:sz w:val="20"/>
          <w:szCs w:val="20"/>
        </w:rPr>
        <w:t xml:space="preserve"> with a 75% majority stake and minority investors holding the remaining 25%. This ownership arrangement provides operational control to </w:t>
      </w:r>
      <w:proofErr w:type="spellStart"/>
      <w:r w:rsidRPr="00A047B6">
        <w:rPr>
          <w:rFonts w:ascii="Calibri" w:hAnsi="Calibri" w:cs="Calibri"/>
          <w:sz w:val="20"/>
          <w:szCs w:val="20"/>
        </w:rPr>
        <w:t>Fertiglobe</w:t>
      </w:r>
      <w:proofErr w:type="spellEnd"/>
      <w:r w:rsidRPr="00A047B6">
        <w:rPr>
          <w:rFonts w:ascii="Calibri" w:hAnsi="Calibri" w:cs="Calibri"/>
          <w:sz w:val="20"/>
          <w:szCs w:val="20"/>
        </w:rPr>
        <w:t xml:space="preserve"> while maintaining minority investor participation. The facility's strategic importance extends beyond its production capacity to include its role as a critical feedstock supplier to adjacent EFC urea production operations through integrated pipeline connections.</w:t>
      </w:r>
    </w:p>
    <w:p w14:paraId="5137E641"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The plant's operational performance has consistently demonstrated world-class efficiency and reliability metrics. EBIC's strategic positioning enables competitive service to key export markets including Europe, where Egypt has emerged as the third-largest fertilizer supplier, as well as rapidly growing markets in Africa, Asia, and the Americas. The facility's ammonia production serves both merchant markets and integrated downstream processing through its connection to EFC's urea production operations.</w:t>
      </w:r>
    </w:p>
    <w:p w14:paraId="68893BC7" w14:textId="77777777" w:rsidR="00A047B6" w:rsidRPr="00A047B6" w:rsidRDefault="00A047B6" w:rsidP="00A047B6">
      <w:pPr>
        <w:rPr>
          <w:rFonts w:ascii="Calibri" w:hAnsi="Calibri" w:cs="Calibri"/>
          <w:b/>
          <w:bCs/>
          <w:i/>
          <w:iCs/>
          <w:sz w:val="20"/>
          <w:szCs w:val="20"/>
        </w:rPr>
      </w:pPr>
      <w:r w:rsidRPr="00A047B6">
        <w:rPr>
          <w:rFonts w:ascii="Calibri" w:hAnsi="Calibri" w:cs="Calibri"/>
          <w:b/>
          <w:bCs/>
          <w:i/>
          <w:iCs/>
          <w:sz w:val="20"/>
          <w:szCs w:val="20"/>
        </w:rPr>
        <w:t>Egyptian Fertilizers Company (EFC) Operations</w:t>
      </w:r>
    </w:p>
    <w:p w14:paraId="73C73E45"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Egyptian Fertilizers Company operates one of the most modern and efficient urea production complexes globally, with annual production capacity of 1.55 million metric tons of granular urea. Located directly across from EBIC within the same Ain Al-Sokhna industrial complex, EFC benefits from exceptional operational synergies and shared infrastructure while maintaining dedicated production capabilities focused on urea and urea ammonium nitrate (UAN) products.</w:t>
      </w:r>
    </w:p>
    <w:p w14:paraId="3DACDC5F"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EFC's production facilities incorporate two main urea production lines commissioned in 2000 and 2006, respectively, utilizing state-of-the-art process technology supplied by German engineering firm Uhde. The facility's design emphasizes product quality, energy efficiency, and environmental performance, incorporating advanced </w:t>
      </w:r>
      <w:r w:rsidRPr="00A047B6">
        <w:rPr>
          <w:rFonts w:ascii="Calibri" w:hAnsi="Calibri" w:cs="Calibri"/>
          <w:sz w:val="20"/>
          <w:szCs w:val="20"/>
        </w:rPr>
        <w:lastRenderedPageBreak/>
        <w:t>process control systems and emissions management technology. Additional infrastructure includes a 325,000 metric ton per year UAN blending unit added in 2010, expanding the facility's product range and market flexibility.</w:t>
      </w:r>
    </w:p>
    <w:p w14:paraId="2B8EF35E"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The facility's production process demonstrates sophisticated integration between ammonia supply and urea manufacturing. While EFC produces both ammonia and urea internally, all ammonia production is consumed within the urea manufacturing process, optimizing overall energy efficiency and reducing intermediate product handling. When additional ammonia or carbon dioxide is required, the facility can source these materials from the adjacent EBIC plant through dedicated pipeline connections, demonstrating the operational advantages of the integrated complex design.</w:t>
      </w:r>
    </w:p>
    <w:p w14:paraId="261B223C"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EFC's feedstock supply system utilizes natural gas and water (steam) as primary inputs, with backup capabilities for ammonia and CO₂ supply from EBIC when required. This flexible feedstock arrangement provides operational security while enabling production optimization based on varying market conditions and maintenance schedules across the integrated complex.</w:t>
      </w:r>
    </w:p>
    <w:p w14:paraId="79FD1D67"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The facility's ownership structure reflects </w:t>
      </w:r>
      <w:proofErr w:type="spellStart"/>
      <w:r w:rsidRPr="00A047B6">
        <w:rPr>
          <w:rFonts w:ascii="Calibri" w:hAnsi="Calibri" w:cs="Calibri"/>
          <w:sz w:val="20"/>
          <w:szCs w:val="20"/>
        </w:rPr>
        <w:t>Fertiglobe's</w:t>
      </w:r>
      <w:proofErr w:type="spellEnd"/>
      <w:r w:rsidRPr="00A047B6">
        <w:rPr>
          <w:rFonts w:ascii="Calibri" w:hAnsi="Calibri" w:cs="Calibri"/>
          <w:sz w:val="20"/>
          <w:szCs w:val="20"/>
        </w:rPr>
        <w:t xml:space="preserve"> 100% control, providing unified management and strategic direction aligned with global market requirements. This ownership concentration enables rapid decision-making and coordinated operational planning across the entire Ain Al-Sokhna complex, contributing to enhanced efficiency and market responsiveness.</w:t>
      </w:r>
    </w:p>
    <w:p w14:paraId="7E5DEECD"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EFC's product quality meets international specifications for granular urea, enabling access to premium markets worldwide. The facility's production </w:t>
      </w:r>
      <w:proofErr w:type="gramStart"/>
      <w:r w:rsidRPr="00A047B6">
        <w:rPr>
          <w:rFonts w:ascii="Calibri" w:hAnsi="Calibri" w:cs="Calibri"/>
          <w:sz w:val="20"/>
          <w:szCs w:val="20"/>
        </w:rPr>
        <w:t>serves</w:t>
      </w:r>
      <w:proofErr w:type="gramEnd"/>
      <w:r w:rsidRPr="00A047B6">
        <w:rPr>
          <w:rFonts w:ascii="Calibri" w:hAnsi="Calibri" w:cs="Calibri"/>
          <w:sz w:val="20"/>
          <w:szCs w:val="20"/>
        </w:rPr>
        <w:t xml:space="preserve"> both domestic agricultural markets and international export markets, with approximately 80% of production typically directed toward export operations. The company's established customer relationships span global markets including Europe, Brazil, the United States, Africa, and Asia, reflecting the facility's reputation for product quality and delivery reliability.</w:t>
      </w:r>
    </w:p>
    <w:p w14:paraId="749F2E5F" w14:textId="77777777" w:rsidR="00A047B6" w:rsidRPr="00A047B6" w:rsidRDefault="00A047B6" w:rsidP="00A047B6">
      <w:pPr>
        <w:rPr>
          <w:rFonts w:ascii="Calibri" w:hAnsi="Calibri" w:cs="Calibri"/>
          <w:b/>
          <w:bCs/>
          <w:i/>
          <w:iCs/>
          <w:sz w:val="20"/>
          <w:szCs w:val="20"/>
        </w:rPr>
      </w:pPr>
      <w:r w:rsidRPr="00A047B6">
        <w:rPr>
          <w:rFonts w:ascii="Calibri" w:hAnsi="Calibri" w:cs="Calibri"/>
          <w:b/>
          <w:bCs/>
          <w:i/>
          <w:iCs/>
          <w:sz w:val="20"/>
          <w:szCs w:val="20"/>
        </w:rPr>
        <w:t>Strategic Location and Export Infrastructure Advantages</w:t>
      </w:r>
    </w:p>
    <w:p w14:paraId="19C2F51D"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The Ain Al-Sokhna location provides </w:t>
      </w:r>
      <w:proofErr w:type="spellStart"/>
      <w:r w:rsidRPr="00A047B6">
        <w:rPr>
          <w:rFonts w:ascii="Calibri" w:hAnsi="Calibri" w:cs="Calibri"/>
          <w:sz w:val="20"/>
          <w:szCs w:val="20"/>
        </w:rPr>
        <w:t>Fertiglobe's</w:t>
      </w:r>
      <w:proofErr w:type="spellEnd"/>
      <w:r w:rsidRPr="00A047B6">
        <w:rPr>
          <w:rFonts w:ascii="Calibri" w:hAnsi="Calibri" w:cs="Calibri"/>
          <w:sz w:val="20"/>
          <w:szCs w:val="20"/>
        </w:rPr>
        <w:t xml:space="preserve"> Egyptian operations with exceptional competitive advantages that extend far beyond basic port access. Ain Al-Sokhna represents Egypt's deepest port facility, capable of accommodating large bulk carriers and specialized chemical tankers required for efficient fertilizer export operations. The port's depth and modern handling facilities enable optimized shipping economics for both ammonia and urea exports to global markets.</w:t>
      </w:r>
    </w:p>
    <w:p w14:paraId="67422416"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The complex's positioning approximately 55 kilometers south of the Suez Canal creates unique logistics advantages compared to other Middle Eastern and Asian fertilizer producers. While most regional competitors must transit the Suez Canal to reach European and Mediterranean markets, </w:t>
      </w:r>
      <w:proofErr w:type="spellStart"/>
      <w:r w:rsidRPr="00A047B6">
        <w:rPr>
          <w:rFonts w:ascii="Calibri" w:hAnsi="Calibri" w:cs="Calibri"/>
          <w:sz w:val="20"/>
          <w:szCs w:val="20"/>
        </w:rPr>
        <w:t>Fertiglobe's</w:t>
      </w:r>
      <w:proofErr w:type="spellEnd"/>
      <w:r w:rsidRPr="00A047B6">
        <w:rPr>
          <w:rFonts w:ascii="Calibri" w:hAnsi="Calibri" w:cs="Calibri"/>
          <w:sz w:val="20"/>
          <w:szCs w:val="20"/>
        </w:rPr>
        <w:t xml:space="preserve"> Egyptian facilities enjoy direct Red Sea access to these key markets without canal transit requirements. This geographical advantage translates into reduced transportation costs, faster delivery times, and enhanced scheduling flexibility for customer service.</w:t>
      </w:r>
    </w:p>
    <w:p w14:paraId="6F6F55ED"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The broader Ain Al-Sokhna industrial zone provides comprehensive support infrastructure including utilities, maintenance services, logistics support, and regulatory facilitation through the Suez Industrial Development Company (SIDC) framework. This integrated industrial environment enables operational efficiencies and cost optimization while providing access to specialized services required for world-class chemical manufacturing operations.</w:t>
      </w:r>
    </w:p>
    <w:p w14:paraId="1D40618E"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The facilities' integration within the SIDC industrial park creates opportunities for resource sharing and operational synergies with other industrial operations. These synergies include shared utilities, maintenance capabilities, </w:t>
      </w:r>
      <w:r w:rsidRPr="00A047B6">
        <w:rPr>
          <w:rFonts w:ascii="Calibri" w:hAnsi="Calibri" w:cs="Calibri"/>
          <w:sz w:val="20"/>
          <w:szCs w:val="20"/>
        </w:rPr>
        <w:lastRenderedPageBreak/>
        <w:t xml:space="preserve">emergency response systems, and administrative services, contributing to overall cost efficiency and operational reliability across the </w:t>
      </w:r>
      <w:proofErr w:type="spellStart"/>
      <w:r w:rsidRPr="00A047B6">
        <w:rPr>
          <w:rFonts w:ascii="Calibri" w:hAnsi="Calibri" w:cs="Calibri"/>
          <w:sz w:val="20"/>
          <w:szCs w:val="20"/>
        </w:rPr>
        <w:t>Fertiglobe</w:t>
      </w:r>
      <w:proofErr w:type="spellEnd"/>
      <w:r w:rsidRPr="00A047B6">
        <w:rPr>
          <w:rFonts w:ascii="Calibri" w:hAnsi="Calibri" w:cs="Calibri"/>
          <w:sz w:val="20"/>
          <w:szCs w:val="20"/>
        </w:rPr>
        <w:t xml:space="preserve"> Egyptian platform.</w:t>
      </w:r>
    </w:p>
    <w:p w14:paraId="49EB532F" w14:textId="77777777" w:rsidR="00A047B6" w:rsidRPr="00A047B6" w:rsidRDefault="00A047B6" w:rsidP="00A047B6">
      <w:pPr>
        <w:rPr>
          <w:rFonts w:ascii="Calibri" w:hAnsi="Calibri" w:cs="Calibri"/>
          <w:b/>
          <w:bCs/>
          <w:i/>
          <w:iCs/>
          <w:sz w:val="20"/>
          <w:szCs w:val="20"/>
        </w:rPr>
      </w:pPr>
      <w:r w:rsidRPr="00A047B6">
        <w:rPr>
          <w:rFonts w:ascii="Calibri" w:hAnsi="Calibri" w:cs="Calibri"/>
          <w:b/>
          <w:bCs/>
          <w:i/>
          <w:iCs/>
          <w:sz w:val="20"/>
          <w:szCs w:val="20"/>
        </w:rPr>
        <w:t>Global Market Position and Export Performance</w:t>
      </w:r>
    </w:p>
    <w:p w14:paraId="63E320AB" w14:textId="77777777" w:rsidR="00A047B6" w:rsidRPr="00A047B6" w:rsidRDefault="00A047B6" w:rsidP="00A047B6">
      <w:pPr>
        <w:rPr>
          <w:rFonts w:ascii="Calibri" w:hAnsi="Calibri" w:cs="Calibri"/>
          <w:sz w:val="20"/>
          <w:szCs w:val="20"/>
        </w:rPr>
      </w:pPr>
      <w:proofErr w:type="spellStart"/>
      <w:r w:rsidRPr="00A047B6">
        <w:rPr>
          <w:rFonts w:ascii="Calibri" w:hAnsi="Calibri" w:cs="Calibri"/>
          <w:sz w:val="20"/>
          <w:szCs w:val="20"/>
        </w:rPr>
        <w:t>Fertiglobe's</w:t>
      </w:r>
      <w:proofErr w:type="spellEnd"/>
      <w:r w:rsidRPr="00A047B6">
        <w:rPr>
          <w:rFonts w:ascii="Calibri" w:hAnsi="Calibri" w:cs="Calibri"/>
          <w:sz w:val="20"/>
          <w:szCs w:val="20"/>
        </w:rPr>
        <w:t xml:space="preserve"> Egyptian operations have achieved recognition as the world's largest seaborne exporter of combined urea and ammonia, reflecting both scale advantages and operational excellence. This market leadership position demonstrates the successful integration of strategic location, advanced technology, operational expertise, and market development capabilities across a global platform.</w:t>
      </w:r>
    </w:p>
    <w:p w14:paraId="1B691DDC"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Recent financial performance demonstrates the strength of </w:t>
      </w:r>
      <w:proofErr w:type="spellStart"/>
      <w:r w:rsidRPr="00A047B6">
        <w:rPr>
          <w:rFonts w:ascii="Calibri" w:hAnsi="Calibri" w:cs="Calibri"/>
          <w:sz w:val="20"/>
          <w:szCs w:val="20"/>
        </w:rPr>
        <w:t>Fertiglobe's</w:t>
      </w:r>
      <w:proofErr w:type="spellEnd"/>
      <w:r w:rsidRPr="00A047B6">
        <w:rPr>
          <w:rFonts w:ascii="Calibri" w:hAnsi="Calibri" w:cs="Calibri"/>
          <w:sz w:val="20"/>
          <w:szCs w:val="20"/>
        </w:rPr>
        <w:t xml:space="preserve"> Egyptian operations within the broader global platform. The company reported full-year 2024 adjusted EBITDA of USD 648 million with adjusted net profit attributable to shareholders of USD 174 million. Fourth-quarter 2024 performance included adjusted EBITDA of USD 158 million and adjusted net profit of USD 42 million, reflecting continued strong operational and financial performance across challenging global market conditions.</w:t>
      </w:r>
    </w:p>
    <w:p w14:paraId="2AAB3D51"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The company's dividend distribution policy reflects confidence in sustained cash generation capabilities, with USD 125 million distributed to shareholders in the second half of 2024. This financial performance demonstrates the value creation potential of world-class fertilizer operations strategically positioned within global supply chains and supported by abundant, competitively priced feedstock resources.</w:t>
      </w:r>
    </w:p>
    <w:p w14:paraId="065C0F57" w14:textId="77777777" w:rsidR="00A047B6" w:rsidRPr="00A047B6" w:rsidRDefault="00A047B6" w:rsidP="00A047B6">
      <w:pPr>
        <w:rPr>
          <w:rFonts w:ascii="Calibri" w:hAnsi="Calibri" w:cs="Calibri"/>
          <w:sz w:val="20"/>
          <w:szCs w:val="20"/>
        </w:rPr>
      </w:pPr>
      <w:proofErr w:type="spellStart"/>
      <w:r w:rsidRPr="00A047B6">
        <w:rPr>
          <w:rFonts w:ascii="Calibri" w:hAnsi="Calibri" w:cs="Calibri"/>
          <w:sz w:val="20"/>
          <w:szCs w:val="20"/>
        </w:rPr>
        <w:t>Fertiglobe's</w:t>
      </w:r>
      <w:proofErr w:type="spellEnd"/>
      <w:r w:rsidRPr="00A047B6">
        <w:rPr>
          <w:rFonts w:ascii="Calibri" w:hAnsi="Calibri" w:cs="Calibri"/>
          <w:sz w:val="20"/>
          <w:szCs w:val="20"/>
        </w:rPr>
        <w:t xml:space="preserve"> Egyptian facilities serve diverse global markets through established customer relationships and trading partnerships. Key export destinations include European markets, where Egypt has emerged as the third-largest fertilizer supplier with EUR 85 million in exports during July 2024. The facilities also serve growing African markets, established relationships in Brazil and other Latin American countries, expanding Asian opportunities, and selective North American markets.</w:t>
      </w:r>
    </w:p>
    <w:p w14:paraId="14C537F4" w14:textId="77777777" w:rsidR="00A047B6" w:rsidRPr="00A047B6" w:rsidRDefault="00A047B6" w:rsidP="00A047B6">
      <w:pPr>
        <w:rPr>
          <w:rFonts w:ascii="Calibri" w:hAnsi="Calibri" w:cs="Calibri"/>
          <w:b/>
          <w:bCs/>
          <w:sz w:val="28"/>
          <w:szCs w:val="28"/>
        </w:rPr>
      </w:pPr>
      <w:r w:rsidRPr="00A047B6">
        <w:rPr>
          <w:rFonts w:ascii="Calibri" w:hAnsi="Calibri" w:cs="Calibri"/>
          <w:b/>
          <w:bCs/>
          <w:sz w:val="28"/>
          <w:szCs w:val="28"/>
        </w:rPr>
        <w:t>United States Market Export Opportunities</w:t>
      </w:r>
    </w:p>
    <w:p w14:paraId="6D0039B8" w14:textId="77777777" w:rsidR="00A047B6" w:rsidRPr="00A047B6" w:rsidRDefault="00A047B6" w:rsidP="00A047B6">
      <w:pPr>
        <w:rPr>
          <w:rFonts w:ascii="Calibri" w:hAnsi="Calibri" w:cs="Calibri"/>
          <w:b/>
          <w:bCs/>
          <w:i/>
          <w:iCs/>
          <w:sz w:val="20"/>
          <w:szCs w:val="20"/>
        </w:rPr>
      </w:pPr>
      <w:r w:rsidRPr="00A047B6">
        <w:rPr>
          <w:rFonts w:ascii="Calibri" w:hAnsi="Calibri" w:cs="Calibri"/>
          <w:b/>
          <w:bCs/>
          <w:i/>
          <w:iCs/>
          <w:sz w:val="20"/>
          <w:szCs w:val="20"/>
        </w:rPr>
        <w:t>Market Overview and Import Dynamics</w:t>
      </w:r>
    </w:p>
    <w:p w14:paraId="3CB33CE2"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The United States represents one of the world's largest and most sophisticated fertilizer markets, with annual consumption exceeding 20 million metric tons across nitrogen, phosphate, and potash products. Despite substantial domestic production capacity, the United States remains a significant importer of fertilizers, particularly urea, ammonia, and specialized fertilizer products, creating substantial opportunities for Egyptian exporters with competitive cost structures and reliable supply capabilities.</w:t>
      </w:r>
    </w:p>
    <w:p w14:paraId="43337973"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Egypt's emergence as a major fertilizer exporter has positioned the country to capture growing shares of US import demand, particularly as trade dynamics shift due to geopolitical tensions affecting traditional suppliers. The United States has actively pursued supply chain diversification strategies that favor reliable partners with established production capabilities and strong export performance records, criteria that align well with Egypt's industry development achievements.</w:t>
      </w:r>
    </w:p>
    <w:p w14:paraId="28C71854" w14:textId="77777777" w:rsidR="00A047B6" w:rsidRPr="00A047B6" w:rsidRDefault="00A047B6" w:rsidP="00A047B6">
      <w:pPr>
        <w:rPr>
          <w:rFonts w:ascii="Calibri" w:hAnsi="Calibri" w:cs="Calibri"/>
          <w:b/>
          <w:bCs/>
          <w:i/>
          <w:iCs/>
          <w:sz w:val="20"/>
          <w:szCs w:val="20"/>
        </w:rPr>
      </w:pPr>
      <w:r w:rsidRPr="00A047B6">
        <w:rPr>
          <w:rFonts w:ascii="Calibri" w:hAnsi="Calibri" w:cs="Calibri"/>
          <w:b/>
          <w:bCs/>
          <w:i/>
          <w:iCs/>
          <w:sz w:val="20"/>
          <w:szCs w:val="20"/>
        </w:rPr>
        <w:t>MISR-</w:t>
      </w:r>
      <w:proofErr w:type="spellStart"/>
      <w:r w:rsidRPr="00A047B6">
        <w:rPr>
          <w:rFonts w:ascii="Calibri" w:hAnsi="Calibri" w:cs="Calibri"/>
          <w:b/>
          <w:bCs/>
          <w:i/>
          <w:iCs/>
          <w:sz w:val="20"/>
          <w:szCs w:val="20"/>
        </w:rPr>
        <w:t>Ameropa</w:t>
      </w:r>
      <w:proofErr w:type="spellEnd"/>
      <w:r w:rsidRPr="00A047B6">
        <w:rPr>
          <w:rFonts w:ascii="Calibri" w:hAnsi="Calibri" w:cs="Calibri"/>
          <w:b/>
          <w:bCs/>
          <w:i/>
          <w:iCs/>
          <w:sz w:val="20"/>
          <w:szCs w:val="20"/>
        </w:rPr>
        <w:t xml:space="preserve"> Trading Partnership: A Success Model</w:t>
      </w:r>
    </w:p>
    <w:p w14:paraId="78FD2967"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The trading relationship between Egyptian fertilizer producers and </w:t>
      </w:r>
      <w:proofErr w:type="spellStart"/>
      <w:r w:rsidRPr="00A047B6">
        <w:rPr>
          <w:rFonts w:ascii="Calibri" w:hAnsi="Calibri" w:cs="Calibri"/>
          <w:sz w:val="20"/>
          <w:szCs w:val="20"/>
        </w:rPr>
        <w:t>Ameropa</w:t>
      </w:r>
      <w:proofErr w:type="spellEnd"/>
      <w:r w:rsidRPr="00A047B6">
        <w:rPr>
          <w:rFonts w:ascii="Calibri" w:hAnsi="Calibri" w:cs="Calibri"/>
          <w:sz w:val="20"/>
          <w:szCs w:val="20"/>
        </w:rPr>
        <w:t xml:space="preserve">, one of Europe's leading agricultural commodity trading companies, demonstrates the potential for large-scale US market penetration through established international trading partnerships. In 2023, </w:t>
      </w:r>
      <w:proofErr w:type="spellStart"/>
      <w:r w:rsidRPr="00A047B6">
        <w:rPr>
          <w:rFonts w:ascii="Calibri" w:hAnsi="Calibri" w:cs="Calibri"/>
          <w:sz w:val="20"/>
          <w:szCs w:val="20"/>
        </w:rPr>
        <w:t>Ameropa</w:t>
      </w:r>
      <w:proofErr w:type="spellEnd"/>
      <w:r w:rsidRPr="00A047B6">
        <w:rPr>
          <w:rFonts w:ascii="Calibri" w:hAnsi="Calibri" w:cs="Calibri"/>
          <w:sz w:val="20"/>
          <w:szCs w:val="20"/>
        </w:rPr>
        <w:t xml:space="preserve"> imported approximately 200,000 tons of fertilizers from MISR (likely referring to various Egyptian state-owned fertilizer companies under the broader "Misr" </w:t>
      </w:r>
      <w:r w:rsidRPr="00A047B6">
        <w:rPr>
          <w:rFonts w:ascii="Calibri" w:hAnsi="Calibri" w:cs="Calibri"/>
          <w:sz w:val="20"/>
          <w:szCs w:val="20"/>
        </w:rPr>
        <w:lastRenderedPageBreak/>
        <w:t>designation), representing a significant commercial relationship that validates Egyptian product quality and supply reliability.</w:t>
      </w:r>
    </w:p>
    <w:p w14:paraId="232A3AEC" w14:textId="77777777" w:rsidR="00A047B6" w:rsidRPr="00A047B6" w:rsidRDefault="00A047B6" w:rsidP="00A047B6">
      <w:pPr>
        <w:rPr>
          <w:rFonts w:ascii="Calibri" w:hAnsi="Calibri" w:cs="Calibri"/>
          <w:sz w:val="20"/>
          <w:szCs w:val="20"/>
        </w:rPr>
      </w:pPr>
      <w:proofErr w:type="spellStart"/>
      <w:r w:rsidRPr="00A047B6">
        <w:rPr>
          <w:rFonts w:ascii="Calibri" w:hAnsi="Calibri" w:cs="Calibri"/>
          <w:sz w:val="20"/>
          <w:szCs w:val="20"/>
        </w:rPr>
        <w:t>Ameropa's</w:t>
      </w:r>
      <w:proofErr w:type="spellEnd"/>
      <w:r w:rsidRPr="00A047B6">
        <w:rPr>
          <w:rFonts w:ascii="Calibri" w:hAnsi="Calibri" w:cs="Calibri"/>
          <w:sz w:val="20"/>
          <w:szCs w:val="20"/>
        </w:rPr>
        <w:t xml:space="preserve"> business model focuses on global agricultural commodity trading with </w:t>
      </w:r>
      <w:proofErr w:type="gramStart"/>
      <w:r w:rsidRPr="00A047B6">
        <w:rPr>
          <w:rFonts w:ascii="Calibri" w:hAnsi="Calibri" w:cs="Calibri"/>
          <w:sz w:val="20"/>
          <w:szCs w:val="20"/>
        </w:rPr>
        <w:t>particular expertise</w:t>
      </w:r>
      <w:proofErr w:type="gramEnd"/>
      <w:r w:rsidRPr="00A047B6">
        <w:rPr>
          <w:rFonts w:ascii="Calibri" w:hAnsi="Calibri" w:cs="Calibri"/>
          <w:sz w:val="20"/>
          <w:szCs w:val="20"/>
        </w:rPr>
        <w:t xml:space="preserve"> in fertilizer markets, grain trading, and integrated supply chain management. The company operates extensive storage and distribution facilities across multiple continents, including significant operations in North America that provide direct market access for international suppliers. </w:t>
      </w:r>
      <w:proofErr w:type="spellStart"/>
      <w:r w:rsidRPr="00A047B6">
        <w:rPr>
          <w:rFonts w:ascii="Calibri" w:hAnsi="Calibri" w:cs="Calibri"/>
          <w:sz w:val="20"/>
          <w:szCs w:val="20"/>
        </w:rPr>
        <w:t>Ameropa's</w:t>
      </w:r>
      <w:proofErr w:type="spellEnd"/>
      <w:r w:rsidRPr="00A047B6">
        <w:rPr>
          <w:rFonts w:ascii="Calibri" w:hAnsi="Calibri" w:cs="Calibri"/>
          <w:sz w:val="20"/>
          <w:szCs w:val="20"/>
        </w:rPr>
        <w:t xml:space="preserve"> established US market presence includes strategically located storage facilities, distribution networks, and customer relationships that enable efficient market penetration for international fertilizer suppliers.</w:t>
      </w:r>
    </w:p>
    <w:p w14:paraId="262335CB"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The success of the MISR-</w:t>
      </w:r>
      <w:proofErr w:type="spellStart"/>
      <w:r w:rsidRPr="00A047B6">
        <w:rPr>
          <w:rFonts w:ascii="Calibri" w:hAnsi="Calibri" w:cs="Calibri"/>
          <w:sz w:val="20"/>
          <w:szCs w:val="20"/>
        </w:rPr>
        <w:t>Ameropa</w:t>
      </w:r>
      <w:proofErr w:type="spellEnd"/>
      <w:r w:rsidRPr="00A047B6">
        <w:rPr>
          <w:rFonts w:ascii="Calibri" w:hAnsi="Calibri" w:cs="Calibri"/>
          <w:sz w:val="20"/>
          <w:szCs w:val="20"/>
        </w:rPr>
        <w:t xml:space="preserve"> partnership demonstrates several critical factors that make Egyptian fertilizer exports attractive to international traders. First, Egyptian producers have demonstrated ability to meet international quality specifications and delivery schedules required for sophisticated global trading operations. Second, Egypt's production scale enables large-volume transactions that provide economic efficiency for both producers and traders. Third, Egyptian facilities' strategic location and export infrastructure enable reliable supply chain performance across varying market conditions.</w:t>
      </w:r>
    </w:p>
    <w:p w14:paraId="2FD38038"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This established trading relationship provides a foundation for expanded Egyptian fertilizer exports to US markets through </w:t>
      </w:r>
      <w:proofErr w:type="spellStart"/>
      <w:r w:rsidRPr="00A047B6">
        <w:rPr>
          <w:rFonts w:ascii="Calibri" w:hAnsi="Calibri" w:cs="Calibri"/>
          <w:sz w:val="20"/>
          <w:szCs w:val="20"/>
        </w:rPr>
        <w:t>Ameropa's</w:t>
      </w:r>
      <w:proofErr w:type="spellEnd"/>
      <w:r w:rsidRPr="00A047B6">
        <w:rPr>
          <w:rFonts w:ascii="Calibri" w:hAnsi="Calibri" w:cs="Calibri"/>
          <w:sz w:val="20"/>
          <w:szCs w:val="20"/>
        </w:rPr>
        <w:t xml:space="preserve"> distribution networks. The company's North American operations include storage facilities, distribution capabilities, and customer relationships that could facilitate increased Egyptian fertilizer volumes reaching US agricultural markets. The proven commercial relationship provides confidence in product quality, delivery reliability, and contractual performance that supports expanded trading volumes.</w:t>
      </w:r>
    </w:p>
    <w:p w14:paraId="5FEAA528" w14:textId="77777777" w:rsidR="00A047B6" w:rsidRPr="00A047B6" w:rsidRDefault="00A047B6" w:rsidP="00A047B6">
      <w:pPr>
        <w:rPr>
          <w:rFonts w:ascii="Calibri" w:hAnsi="Calibri" w:cs="Calibri"/>
          <w:b/>
          <w:bCs/>
          <w:i/>
          <w:iCs/>
          <w:sz w:val="20"/>
          <w:szCs w:val="20"/>
        </w:rPr>
      </w:pPr>
      <w:proofErr w:type="spellStart"/>
      <w:r w:rsidRPr="00A047B6">
        <w:rPr>
          <w:rFonts w:ascii="Calibri" w:hAnsi="Calibri" w:cs="Calibri"/>
          <w:b/>
          <w:bCs/>
          <w:i/>
          <w:iCs/>
          <w:sz w:val="20"/>
          <w:szCs w:val="20"/>
        </w:rPr>
        <w:t>Fertiglobe</w:t>
      </w:r>
      <w:proofErr w:type="spellEnd"/>
      <w:r w:rsidRPr="00A047B6">
        <w:rPr>
          <w:rFonts w:ascii="Calibri" w:hAnsi="Calibri" w:cs="Calibri"/>
          <w:b/>
          <w:bCs/>
          <w:i/>
          <w:iCs/>
          <w:sz w:val="20"/>
          <w:szCs w:val="20"/>
        </w:rPr>
        <w:t xml:space="preserve"> Export Opportunities to US Markets</w:t>
      </w:r>
    </w:p>
    <w:p w14:paraId="47CECDF1" w14:textId="77777777" w:rsidR="00A047B6" w:rsidRPr="00A047B6" w:rsidRDefault="00A047B6" w:rsidP="00A047B6">
      <w:pPr>
        <w:rPr>
          <w:rFonts w:ascii="Calibri" w:hAnsi="Calibri" w:cs="Calibri"/>
          <w:sz w:val="20"/>
          <w:szCs w:val="20"/>
        </w:rPr>
      </w:pPr>
      <w:proofErr w:type="spellStart"/>
      <w:r w:rsidRPr="00A047B6">
        <w:rPr>
          <w:rFonts w:ascii="Calibri" w:hAnsi="Calibri" w:cs="Calibri"/>
          <w:sz w:val="20"/>
          <w:szCs w:val="20"/>
        </w:rPr>
        <w:t>Fertiglobe's</w:t>
      </w:r>
      <w:proofErr w:type="spellEnd"/>
      <w:r w:rsidRPr="00A047B6">
        <w:rPr>
          <w:rFonts w:ascii="Calibri" w:hAnsi="Calibri" w:cs="Calibri"/>
          <w:sz w:val="20"/>
          <w:szCs w:val="20"/>
        </w:rPr>
        <w:t xml:space="preserve"> Egyptian operations present exceptional opportunities for US market development through multiple product categories and market channels. The company's world-class production facilities, proven export performance, and established global customer relationships position </w:t>
      </w:r>
      <w:proofErr w:type="spellStart"/>
      <w:r w:rsidRPr="00A047B6">
        <w:rPr>
          <w:rFonts w:ascii="Calibri" w:hAnsi="Calibri" w:cs="Calibri"/>
          <w:sz w:val="20"/>
          <w:szCs w:val="20"/>
        </w:rPr>
        <w:t>Fertiglobe</w:t>
      </w:r>
      <w:proofErr w:type="spellEnd"/>
      <w:r w:rsidRPr="00A047B6">
        <w:rPr>
          <w:rFonts w:ascii="Calibri" w:hAnsi="Calibri" w:cs="Calibri"/>
          <w:sz w:val="20"/>
          <w:szCs w:val="20"/>
        </w:rPr>
        <w:t xml:space="preserve"> as an attractive supplier for US fertilizer importers, distributors, and end-users seeking reliable, competitively priced nitrogen fertilizer products.</w:t>
      </w:r>
    </w:p>
    <w:p w14:paraId="63BF6B4B"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EBIC's anhydrous ammonia production provides direct opportunities for US agricultural markets, where ammonia represents a preferred nitrogen source for many crop production systems. The facility's 748,000 metric ton annual capacity includes significant volumes available for export markets, while the dedicated refrigerated export terminal enables efficient bulk shipments to US Gulf Coast and East Coast receiving facilities. US agricultural markets consume substantial ammonia volumes for direct application and downstream processing, creating sustained demand opportunities for Egyptian suppliers.</w:t>
      </w:r>
    </w:p>
    <w:p w14:paraId="418406CB"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EFC's urea production offers even more substantial US market opportunities given the product's broad applicability across US agricultural systems and industrial applications. The facility's 1.55 million metric ton annual capacity positions EFC among global urea production leaders, while the granular urea product specifications meet or exceed US agricultural market requirements. Urea's advantages </w:t>
      </w:r>
      <w:proofErr w:type="gramStart"/>
      <w:r w:rsidRPr="00A047B6">
        <w:rPr>
          <w:rFonts w:ascii="Calibri" w:hAnsi="Calibri" w:cs="Calibri"/>
          <w:sz w:val="20"/>
          <w:szCs w:val="20"/>
        </w:rPr>
        <w:t>including</w:t>
      </w:r>
      <w:proofErr w:type="gramEnd"/>
      <w:r w:rsidRPr="00A047B6">
        <w:rPr>
          <w:rFonts w:ascii="Calibri" w:hAnsi="Calibri" w:cs="Calibri"/>
          <w:sz w:val="20"/>
          <w:szCs w:val="20"/>
        </w:rPr>
        <w:t xml:space="preserve"> high nitrogen content, ease of handling, and storage stability make it particularly attractive for US agricultural distributors and end-users.</w:t>
      </w:r>
    </w:p>
    <w:p w14:paraId="01057ED4"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The facilities' strategic location provides competitive transportation costs to US East Coast markets compared to many traditional suppliers. Shipments from Ain Al-Sokhna can reach US Atlantic ports with favorable freight economics while avoiding congested European ports or longer Pacific routes. This logistics advantage could enable </w:t>
      </w:r>
      <w:proofErr w:type="spellStart"/>
      <w:r w:rsidRPr="00A047B6">
        <w:rPr>
          <w:rFonts w:ascii="Calibri" w:hAnsi="Calibri" w:cs="Calibri"/>
          <w:sz w:val="20"/>
          <w:szCs w:val="20"/>
        </w:rPr>
        <w:t>Fertiglobe</w:t>
      </w:r>
      <w:proofErr w:type="spellEnd"/>
      <w:r w:rsidRPr="00A047B6">
        <w:rPr>
          <w:rFonts w:ascii="Calibri" w:hAnsi="Calibri" w:cs="Calibri"/>
          <w:sz w:val="20"/>
          <w:szCs w:val="20"/>
        </w:rPr>
        <w:t xml:space="preserve"> to offer competitive delivered pricing to US customers while maintaining attractive margins for export operations.</w:t>
      </w:r>
    </w:p>
    <w:p w14:paraId="4ADF3FC4" w14:textId="77777777" w:rsidR="00A047B6" w:rsidRPr="00A047B6" w:rsidRDefault="00A047B6" w:rsidP="00A047B6">
      <w:pPr>
        <w:rPr>
          <w:rFonts w:ascii="Calibri" w:hAnsi="Calibri" w:cs="Calibri"/>
          <w:sz w:val="20"/>
          <w:szCs w:val="20"/>
        </w:rPr>
      </w:pPr>
      <w:proofErr w:type="spellStart"/>
      <w:r w:rsidRPr="00A047B6">
        <w:rPr>
          <w:rFonts w:ascii="Calibri" w:hAnsi="Calibri" w:cs="Calibri"/>
          <w:sz w:val="20"/>
          <w:szCs w:val="20"/>
        </w:rPr>
        <w:lastRenderedPageBreak/>
        <w:t>Fertiglobe's</w:t>
      </w:r>
      <w:proofErr w:type="spellEnd"/>
      <w:r w:rsidRPr="00A047B6">
        <w:rPr>
          <w:rFonts w:ascii="Calibri" w:hAnsi="Calibri" w:cs="Calibri"/>
          <w:sz w:val="20"/>
          <w:szCs w:val="20"/>
        </w:rPr>
        <w:t xml:space="preserve"> established relationships with international trading companies, agricultural distributors, and large-scale end-users provide multiple potential channels for US market development. The company's proven track record in serving sophisticated global markets demonstrates capability to meet the quality, delivery, and service requirements expected by US fertilizer customers. Additionally, </w:t>
      </w:r>
      <w:proofErr w:type="spellStart"/>
      <w:r w:rsidRPr="00A047B6">
        <w:rPr>
          <w:rFonts w:ascii="Calibri" w:hAnsi="Calibri" w:cs="Calibri"/>
          <w:sz w:val="20"/>
          <w:szCs w:val="20"/>
        </w:rPr>
        <w:t>Fertiglobe's</w:t>
      </w:r>
      <w:proofErr w:type="spellEnd"/>
      <w:r w:rsidRPr="00A047B6">
        <w:rPr>
          <w:rFonts w:ascii="Calibri" w:hAnsi="Calibri" w:cs="Calibri"/>
          <w:sz w:val="20"/>
          <w:szCs w:val="20"/>
        </w:rPr>
        <w:t xml:space="preserve"> financial strength and operational reliability provide confidence for US customers seeking secure supply relationships.</w:t>
      </w:r>
    </w:p>
    <w:p w14:paraId="719E173F" w14:textId="77777777" w:rsidR="00A047B6" w:rsidRPr="00A047B6" w:rsidRDefault="00A047B6" w:rsidP="00A047B6">
      <w:pPr>
        <w:rPr>
          <w:rFonts w:ascii="Calibri" w:hAnsi="Calibri" w:cs="Calibri"/>
          <w:b/>
          <w:bCs/>
          <w:sz w:val="28"/>
          <w:szCs w:val="28"/>
        </w:rPr>
      </w:pPr>
      <w:r w:rsidRPr="00A047B6">
        <w:rPr>
          <w:rFonts w:ascii="Calibri" w:hAnsi="Calibri" w:cs="Calibri"/>
          <w:b/>
          <w:bCs/>
          <w:sz w:val="28"/>
          <w:szCs w:val="28"/>
        </w:rPr>
        <w:t>Market Entry Strategies and Partnership Opportunities</w:t>
      </w:r>
    </w:p>
    <w:p w14:paraId="58EEB768"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Egyptian fertilizer exporters seeking to develop US market opportunities should consider multiple strategic approaches that leverage existing industry relationships and established market channels. </w:t>
      </w:r>
      <w:proofErr w:type="gramStart"/>
      <w:r w:rsidRPr="00A047B6">
        <w:rPr>
          <w:rFonts w:ascii="Calibri" w:hAnsi="Calibri" w:cs="Calibri"/>
          <w:sz w:val="20"/>
          <w:szCs w:val="20"/>
        </w:rPr>
        <w:t>Partnership</w:t>
      </w:r>
      <w:proofErr w:type="gramEnd"/>
      <w:r w:rsidRPr="00A047B6">
        <w:rPr>
          <w:rFonts w:ascii="Calibri" w:hAnsi="Calibri" w:cs="Calibri"/>
          <w:sz w:val="20"/>
          <w:szCs w:val="20"/>
        </w:rPr>
        <w:t xml:space="preserve"> with established US fertilizer importers and distributors </w:t>
      </w:r>
      <w:proofErr w:type="gramStart"/>
      <w:r w:rsidRPr="00A047B6">
        <w:rPr>
          <w:rFonts w:ascii="Calibri" w:hAnsi="Calibri" w:cs="Calibri"/>
          <w:sz w:val="20"/>
          <w:szCs w:val="20"/>
        </w:rPr>
        <w:t>provides</w:t>
      </w:r>
      <w:proofErr w:type="gramEnd"/>
      <w:r w:rsidRPr="00A047B6">
        <w:rPr>
          <w:rFonts w:ascii="Calibri" w:hAnsi="Calibri" w:cs="Calibri"/>
          <w:sz w:val="20"/>
          <w:szCs w:val="20"/>
        </w:rPr>
        <w:t xml:space="preserve"> immediate market access while minimizing investment requirements and regulatory complexity associated with direct market development.</w:t>
      </w:r>
    </w:p>
    <w:p w14:paraId="58FF03CC"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Trading company partnerships, exemplified by the successful MISR-</w:t>
      </w:r>
      <w:proofErr w:type="spellStart"/>
      <w:r w:rsidRPr="00A047B6">
        <w:rPr>
          <w:rFonts w:ascii="Calibri" w:hAnsi="Calibri" w:cs="Calibri"/>
          <w:sz w:val="20"/>
          <w:szCs w:val="20"/>
        </w:rPr>
        <w:t>Ameropa</w:t>
      </w:r>
      <w:proofErr w:type="spellEnd"/>
      <w:r w:rsidRPr="00A047B6">
        <w:rPr>
          <w:rFonts w:ascii="Calibri" w:hAnsi="Calibri" w:cs="Calibri"/>
          <w:sz w:val="20"/>
          <w:szCs w:val="20"/>
        </w:rPr>
        <w:t xml:space="preserve"> relationship, offer significant advantages for US market development. Major international trading companies including </w:t>
      </w:r>
      <w:proofErr w:type="spellStart"/>
      <w:r w:rsidRPr="00A047B6">
        <w:rPr>
          <w:rFonts w:ascii="Calibri" w:hAnsi="Calibri" w:cs="Calibri"/>
          <w:sz w:val="20"/>
          <w:szCs w:val="20"/>
        </w:rPr>
        <w:t>Ameropa</w:t>
      </w:r>
      <w:proofErr w:type="spellEnd"/>
      <w:r w:rsidRPr="00A047B6">
        <w:rPr>
          <w:rFonts w:ascii="Calibri" w:hAnsi="Calibri" w:cs="Calibri"/>
          <w:sz w:val="20"/>
          <w:szCs w:val="20"/>
        </w:rPr>
        <w:t>, Helm AG, Yara International, and CF Industries maintain established US operations with storage facilities, distribution networks, and customer relationships that enable efficient market penetration for international suppliers. These partnerships provide immediate market access while sharing commercial risks and leveraging existing market expertise.</w:t>
      </w:r>
    </w:p>
    <w:p w14:paraId="4A417BFB"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Direct relationships with US agricultural cooperatives represent another attractive market development strategy. Many US agricultural cooperatives maintain substantial fertilizer distribution operations serving thousands of farmer-members across regional markets. These cooperatives often seek reliable international suppliers capable of providing consistent quality and competitive pricing for large-volume annual requirements. Egyptian producers' scale and cost competitiveness could provide attractive value propositions for cooperative purchasing programs.</w:t>
      </w:r>
    </w:p>
    <w:p w14:paraId="4D3E21FA"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Industrial end-user relationships provide opportunities for direct sales to large-scale US agricultural operations, industrial manufacturers, and environmental management companies. These customers often prefer direct supplier relationships that provide pricing transparency, </w:t>
      </w:r>
      <w:proofErr w:type="gramStart"/>
      <w:r w:rsidRPr="00A047B6">
        <w:rPr>
          <w:rFonts w:ascii="Calibri" w:hAnsi="Calibri" w:cs="Calibri"/>
          <w:sz w:val="20"/>
          <w:szCs w:val="20"/>
        </w:rPr>
        <w:t>supply security</w:t>
      </w:r>
      <w:proofErr w:type="gramEnd"/>
      <w:r w:rsidRPr="00A047B6">
        <w:rPr>
          <w:rFonts w:ascii="Calibri" w:hAnsi="Calibri" w:cs="Calibri"/>
          <w:sz w:val="20"/>
          <w:szCs w:val="20"/>
        </w:rPr>
        <w:t>, and technical support for specialized applications. Egyptian producers with technical capabilities and customer service infrastructure could develop profitable direct relationships with selected large-volume US customers.</w:t>
      </w:r>
    </w:p>
    <w:p w14:paraId="63AA4CD5"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The US fertilizer import market's seasonal dynamics create opportunities for Egyptian exporters to optimize production scheduling and inventory management. US agricultural demand peaks during spring planting seasons, while industrial demand remains relatively stable throughout the year. Egyptian producers could structure export programs to align with US seasonal requirements while optimizing facility utilization and working capital requirements.</w:t>
      </w:r>
    </w:p>
    <w:p w14:paraId="17527F7E" w14:textId="77777777" w:rsidR="00A047B6" w:rsidRPr="00A047B6" w:rsidRDefault="00A047B6" w:rsidP="00A047B6">
      <w:pPr>
        <w:rPr>
          <w:rFonts w:ascii="Calibri" w:hAnsi="Calibri" w:cs="Calibri"/>
          <w:b/>
          <w:bCs/>
          <w:i/>
          <w:iCs/>
          <w:sz w:val="20"/>
          <w:szCs w:val="20"/>
        </w:rPr>
      </w:pPr>
      <w:r w:rsidRPr="00A047B6">
        <w:rPr>
          <w:rFonts w:ascii="Calibri" w:hAnsi="Calibri" w:cs="Calibri"/>
          <w:b/>
          <w:bCs/>
          <w:i/>
          <w:iCs/>
          <w:sz w:val="20"/>
          <w:szCs w:val="20"/>
        </w:rPr>
        <w:t>Regulatory and Logistics Considerations</w:t>
      </w:r>
    </w:p>
    <w:p w14:paraId="52F1BEC4"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US fertilizer </w:t>
      </w:r>
      <w:proofErr w:type="gramStart"/>
      <w:r w:rsidRPr="00A047B6">
        <w:rPr>
          <w:rFonts w:ascii="Calibri" w:hAnsi="Calibri" w:cs="Calibri"/>
          <w:sz w:val="20"/>
          <w:szCs w:val="20"/>
        </w:rPr>
        <w:t>import</w:t>
      </w:r>
      <w:proofErr w:type="gramEnd"/>
      <w:r w:rsidRPr="00A047B6">
        <w:rPr>
          <w:rFonts w:ascii="Calibri" w:hAnsi="Calibri" w:cs="Calibri"/>
          <w:sz w:val="20"/>
          <w:szCs w:val="20"/>
        </w:rPr>
        <w:t xml:space="preserve"> operations require compliance with various regulatory requirements administered by multiple federal agencies including the Environmental Protection Agency (EPA), Department of Agriculture (USDA), and Department of Transportation (DOT). Egyptian exporters seeking US market development should ensure comprehensive understanding of applicable regulations including product registration, labeling requirements, safety data sheet specifications, and import documentation requirements.</w:t>
      </w:r>
    </w:p>
    <w:p w14:paraId="1F3055AC"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Product quality specifications for US fertilizer markets generally align with international standards, though specific customer requirements may vary based on application methods, crop requirements, and regional preferences. Egyptian producers should ensure production specifications meet or exceed US market standards while maintaining </w:t>
      </w:r>
      <w:r w:rsidRPr="00A047B6">
        <w:rPr>
          <w:rFonts w:ascii="Calibri" w:hAnsi="Calibri" w:cs="Calibri"/>
          <w:sz w:val="20"/>
          <w:szCs w:val="20"/>
        </w:rPr>
        <w:lastRenderedPageBreak/>
        <w:t>documentation systems that demonstrate consistent quality performance and traceability throughout supply chains.</w:t>
      </w:r>
    </w:p>
    <w:p w14:paraId="1C53739D"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Logistics planning for US market development should consider optimal port selection based on target market regions, seasonal demand patterns, and available infrastructure. US Gulf Coast ports including Houston, New Orleans, and Mobile provide excellent access to major agricultural regions while offering competitive receiving costs and inland transportation options. East Coast ports including Norfolk, Charleston, and Jacksonville provide access to Atlantic Coast agricultural markets and potential inland transportation via rail and truck networks.</w:t>
      </w:r>
    </w:p>
    <w:p w14:paraId="4887167E"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Storage and distribution infrastructure represent critical considerations for sustainable US market development. Partnership with established US fertilizer distributors provides immediate access to storage facilities and distribution networks, while direct investment in storage infrastructure may provide long-term strategic advantages for large-volume export programs. Egyptian exporters should evaluate infrastructure requirements based on planned market development strategies and volume projections.</w:t>
      </w:r>
    </w:p>
    <w:p w14:paraId="0176AC0E" w14:textId="77777777" w:rsidR="00A047B6" w:rsidRPr="00A047B6" w:rsidRDefault="00A047B6" w:rsidP="00A047B6">
      <w:pPr>
        <w:rPr>
          <w:rFonts w:ascii="Calibri" w:hAnsi="Calibri" w:cs="Calibri"/>
          <w:b/>
          <w:bCs/>
          <w:sz w:val="28"/>
          <w:szCs w:val="28"/>
        </w:rPr>
      </w:pPr>
      <w:r w:rsidRPr="00A047B6">
        <w:rPr>
          <w:rFonts w:ascii="Calibri" w:hAnsi="Calibri" w:cs="Calibri"/>
          <w:b/>
          <w:bCs/>
          <w:sz w:val="28"/>
          <w:szCs w:val="28"/>
        </w:rPr>
        <w:t xml:space="preserve">Phosphate Industry and Abu </w:t>
      </w:r>
      <w:proofErr w:type="spellStart"/>
      <w:r w:rsidRPr="00A047B6">
        <w:rPr>
          <w:rFonts w:ascii="Calibri" w:hAnsi="Calibri" w:cs="Calibri"/>
          <w:b/>
          <w:bCs/>
          <w:sz w:val="28"/>
          <w:szCs w:val="28"/>
        </w:rPr>
        <w:t>Tartur</w:t>
      </w:r>
      <w:proofErr w:type="spellEnd"/>
      <w:r w:rsidRPr="00A047B6">
        <w:rPr>
          <w:rFonts w:ascii="Calibri" w:hAnsi="Calibri" w:cs="Calibri"/>
          <w:b/>
          <w:bCs/>
          <w:sz w:val="28"/>
          <w:szCs w:val="28"/>
        </w:rPr>
        <w:t xml:space="preserve"> Development</w:t>
      </w:r>
    </w:p>
    <w:p w14:paraId="40B3451E" w14:textId="77777777" w:rsidR="00A047B6" w:rsidRPr="00A047B6" w:rsidRDefault="00A047B6" w:rsidP="00A047B6">
      <w:pPr>
        <w:rPr>
          <w:rFonts w:ascii="Calibri" w:hAnsi="Calibri" w:cs="Calibri"/>
          <w:b/>
          <w:bCs/>
          <w:i/>
          <w:iCs/>
          <w:sz w:val="20"/>
          <w:szCs w:val="20"/>
        </w:rPr>
      </w:pPr>
      <w:r w:rsidRPr="00A047B6">
        <w:rPr>
          <w:rFonts w:ascii="Calibri" w:hAnsi="Calibri" w:cs="Calibri"/>
          <w:b/>
          <w:bCs/>
          <w:i/>
          <w:iCs/>
          <w:sz w:val="20"/>
          <w:szCs w:val="20"/>
        </w:rPr>
        <w:t>Phosphate Resource Base and Production Capacity</w:t>
      </w:r>
    </w:p>
    <w:p w14:paraId="386F53EF"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Egypt's phosphate industry represents a cornerstone of the country's mineral wealth and fertilizer production capabilities, built upon world-class resource endowments that position the nation among global leaders in phosphate mining and processing. The country holds an estimated 2.8 billion tons of phosphate reserves, ranking third globally behind Morocco and China, providing a secure foundation for sustained industry development and export growth over multiple decades.</w:t>
      </w:r>
    </w:p>
    <w:p w14:paraId="21F3DA6F"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Current phosphate rock production has reached impressive levels, with output increasing from 11 million tons in fiscal year 2023/2024 to approximately 16 million tons from July 2024 to April 2025. This 45% increase in annual production reflects both expanded mining operations and improved extraction efficiency across multiple deposit areas. The production growth trajectory demonstrates the industry's response to growing global demand while positioning Egypt to capture increased market share in international phosphate and phosphate fertilizer trade.</w:t>
      </w:r>
    </w:p>
    <w:p w14:paraId="230F894D"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Egypt's phosphate deposits are distributed across three primary geographic regions, each with distinct characteristics and development potential. The Abu </w:t>
      </w:r>
      <w:proofErr w:type="spellStart"/>
      <w:r w:rsidRPr="00A047B6">
        <w:rPr>
          <w:rFonts w:ascii="Calibri" w:hAnsi="Calibri" w:cs="Calibri"/>
          <w:sz w:val="20"/>
          <w:szCs w:val="20"/>
        </w:rPr>
        <w:t>Tartour</w:t>
      </w:r>
      <w:proofErr w:type="spellEnd"/>
      <w:r w:rsidRPr="00A047B6">
        <w:rPr>
          <w:rFonts w:ascii="Calibri" w:hAnsi="Calibri" w:cs="Calibri"/>
          <w:sz w:val="20"/>
          <w:szCs w:val="20"/>
        </w:rPr>
        <w:t xml:space="preserve"> plateau in the New Valley represents the largest single deposit, containing an estimated 1 billion tons of high-quality phosphate ore with grades reaching up to 31% P₂O₅. The Nile Valley region between </w:t>
      </w:r>
      <w:proofErr w:type="spellStart"/>
      <w:r w:rsidRPr="00A047B6">
        <w:rPr>
          <w:rFonts w:ascii="Calibri" w:hAnsi="Calibri" w:cs="Calibri"/>
          <w:sz w:val="20"/>
          <w:szCs w:val="20"/>
        </w:rPr>
        <w:t>Edfu</w:t>
      </w:r>
      <w:proofErr w:type="spellEnd"/>
      <w:r w:rsidRPr="00A047B6">
        <w:rPr>
          <w:rFonts w:ascii="Calibri" w:hAnsi="Calibri" w:cs="Calibri"/>
          <w:sz w:val="20"/>
          <w:szCs w:val="20"/>
        </w:rPr>
        <w:t xml:space="preserve"> and Qena includes the El-</w:t>
      </w:r>
      <w:proofErr w:type="spellStart"/>
      <w:r w:rsidRPr="00A047B6">
        <w:rPr>
          <w:rFonts w:ascii="Calibri" w:hAnsi="Calibri" w:cs="Calibri"/>
          <w:sz w:val="20"/>
          <w:szCs w:val="20"/>
        </w:rPr>
        <w:t>Sebaiya</w:t>
      </w:r>
      <w:proofErr w:type="spellEnd"/>
      <w:r w:rsidRPr="00A047B6">
        <w:rPr>
          <w:rFonts w:ascii="Calibri" w:hAnsi="Calibri" w:cs="Calibri"/>
          <w:sz w:val="20"/>
          <w:szCs w:val="20"/>
        </w:rPr>
        <w:t xml:space="preserve"> East and West deposits with approximately 500 million tons of reserves averaging 28-30% P₂O₅. The Red Sea coastal areas encompass deposits at </w:t>
      </w:r>
      <w:proofErr w:type="spellStart"/>
      <w:r w:rsidRPr="00A047B6">
        <w:rPr>
          <w:rFonts w:ascii="Calibri" w:hAnsi="Calibri" w:cs="Calibri"/>
          <w:sz w:val="20"/>
          <w:szCs w:val="20"/>
        </w:rPr>
        <w:t>Safaga</w:t>
      </w:r>
      <w:proofErr w:type="spellEnd"/>
      <w:r w:rsidRPr="00A047B6">
        <w:rPr>
          <w:rFonts w:ascii="Calibri" w:hAnsi="Calibri" w:cs="Calibri"/>
          <w:sz w:val="20"/>
          <w:szCs w:val="20"/>
        </w:rPr>
        <w:t>, El-</w:t>
      </w:r>
      <w:proofErr w:type="spellStart"/>
      <w:r w:rsidRPr="00A047B6">
        <w:rPr>
          <w:rFonts w:ascii="Calibri" w:hAnsi="Calibri" w:cs="Calibri"/>
          <w:sz w:val="20"/>
          <w:szCs w:val="20"/>
        </w:rPr>
        <w:t>Hamrawein</w:t>
      </w:r>
      <w:proofErr w:type="spellEnd"/>
      <w:r w:rsidRPr="00A047B6">
        <w:rPr>
          <w:rFonts w:ascii="Calibri" w:hAnsi="Calibri" w:cs="Calibri"/>
          <w:sz w:val="20"/>
          <w:szCs w:val="20"/>
        </w:rPr>
        <w:t>, and El-</w:t>
      </w:r>
      <w:proofErr w:type="spellStart"/>
      <w:r w:rsidRPr="00A047B6">
        <w:rPr>
          <w:rFonts w:ascii="Calibri" w:hAnsi="Calibri" w:cs="Calibri"/>
          <w:sz w:val="20"/>
          <w:szCs w:val="20"/>
        </w:rPr>
        <w:t>Quseir</w:t>
      </w:r>
      <w:proofErr w:type="spellEnd"/>
      <w:r w:rsidRPr="00A047B6">
        <w:rPr>
          <w:rFonts w:ascii="Calibri" w:hAnsi="Calibri" w:cs="Calibri"/>
          <w:sz w:val="20"/>
          <w:szCs w:val="20"/>
        </w:rPr>
        <w:t xml:space="preserve"> that have supported phosphate mining operations for several decades.</w:t>
      </w:r>
    </w:p>
    <w:p w14:paraId="2613128F" w14:textId="77777777" w:rsidR="00A047B6" w:rsidRPr="00A047B6" w:rsidRDefault="00A047B6" w:rsidP="00A047B6">
      <w:pPr>
        <w:rPr>
          <w:rFonts w:ascii="Calibri" w:hAnsi="Calibri" w:cs="Calibri"/>
          <w:b/>
          <w:bCs/>
          <w:i/>
          <w:iCs/>
          <w:sz w:val="20"/>
          <w:szCs w:val="20"/>
        </w:rPr>
      </w:pPr>
      <w:r w:rsidRPr="00A047B6">
        <w:rPr>
          <w:rFonts w:ascii="Calibri" w:hAnsi="Calibri" w:cs="Calibri"/>
          <w:b/>
          <w:bCs/>
          <w:i/>
          <w:iCs/>
          <w:sz w:val="20"/>
          <w:szCs w:val="20"/>
        </w:rPr>
        <w:t>Abu Tartour: World-Class Deposit and Strategic Development</w:t>
      </w:r>
    </w:p>
    <w:p w14:paraId="44BBCBA5"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The Abu </w:t>
      </w:r>
      <w:proofErr w:type="spellStart"/>
      <w:r w:rsidRPr="00A047B6">
        <w:rPr>
          <w:rFonts w:ascii="Calibri" w:hAnsi="Calibri" w:cs="Calibri"/>
          <w:sz w:val="20"/>
          <w:szCs w:val="20"/>
        </w:rPr>
        <w:t>Tartour</w:t>
      </w:r>
      <w:proofErr w:type="spellEnd"/>
      <w:r w:rsidRPr="00A047B6">
        <w:rPr>
          <w:rFonts w:ascii="Calibri" w:hAnsi="Calibri" w:cs="Calibri"/>
          <w:sz w:val="20"/>
          <w:szCs w:val="20"/>
        </w:rPr>
        <w:t xml:space="preserve"> plateau represents Egypt's most significant phosphate development opportunity, containing what industry experts consider one of the world's largest undeveloped phosphate deposits. Located in the central Western Desert as a cuesta landscape at altitude 450-500 meters above sea level, the plateau encompasses approximately 1,200 square kilometers total area with phosphate mineralization extending across substantial portions of this region.</w:t>
      </w:r>
    </w:p>
    <w:p w14:paraId="73804EA8"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The phosphate ore at Abu </w:t>
      </w:r>
      <w:proofErr w:type="spellStart"/>
      <w:r w:rsidRPr="00A047B6">
        <w:rPr>
          <w:rFonts w:ascii="Calibri" w:hAnsi="Calibri" w:cs="Calibri"/>
          <w:sz w:val="20"/>
          <w:szCs w:val="20"/>
        </w:rPr>
        <w:t>Tartour</w:t>
      </w:r>
      <w:proofErr w:type="spellEnd"/>
      <w:r w:rsidRPr="00A047B6">
        <w:rPr>
          <w:rFonts w:ascii="Calibri" w:hAnsi="Calibri" w:cs="Calibri"/>
          <w:sz w:val="20"/>
          <w:szCs w:val="20"/>
        </w:rPr>
        <w:t xml:space="preserve"> demonstrates exceptional quality characteristics that make it particularly attractive for phosphoric acid production and high-analysis fertilizer manufacturing. The ore typically grades between 25-31% P₂O₅, placing it among the highest-grade commercial phosphate deposits globally. Equally </w:t>
      </w:r>
      <w:r w:rsidRPr="00A047B6">
        <w:rPr>
          <w:rFonts w:ascii="Calibri" w:hAnsi="Calibri" w:cs="Calibri"/>
          <w:sz w:val="20"/>
          <w:szCs w:val="20"/>
        </w:rPr>
        <w:lastRenderedPageBreak/>
        <w:t xml:space="preserve">important, the Abu </w:t>
      </w:r>
      <w:proofErr w:type="spellStart"/>
      <w:r w:rsidRPr="00A047B6">
        <w:rPr>
          <w:rFonts w:ascii="Calibri" w:hAnsi="Calibri" w:cs="Calibri"/>
          <w:sz w:val="20"/>
          <w:szCs w:val="20"/>
        </w:rPr>
        <w:t>Tartour</w:t>
      </w:r>
      <w:proofErr w:type="spellEnd"/>
      <w:r w:rsidRPr="00A047B6">
        <w:rPr>
          <w:rFonts w:ascii="Calibri" w:hAnsi="Calibri" w:cs="Calibri"/>
          <w:sz w:val="20"/>
          <w:szCs w:val="20"/>
        </w:rPr>
        <w:t xml:space="preserve"> ore contains relatively low levels of problematic impurities including magnesium oxide (MgO), which often complicates phosphoric acid production from other global phosphate sources.</w:t>
      </w:r>
    </w:p>
    <w:p w14:paraId="1C567B72"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Despite its exceptional resource quality and scale, Abu </w:t>
      </w:r>
      <w:proofErr w:type="spellStart"/>
      <w:r w:rsidRPr="00A047B6">
        <w:rPr>
          <w:rFonts w:ascii="Calibri" w:hAnsi="Calibri" w:cs="Calibri"/>
          <w:sz w:val="20"/>
          <w:szCs w:val="20"/>
        </w:rPr>
        <w:t>Tartour</w:t>
      </w:r>
      <w:proofErr w:type="spellEnd"/>
      <w:r w:rsidRPr="00A047B6">
        <w:rPr>
          <w:rFonts w:ascii="Calibri" w:hAnsi="Calibri" w:cs="Calibri"/>
          <w:sz w:val="20"/>
          <w:szCs w:val="20"/>
        </w:rPr>
        <w:t xml:space="preserve"> has experienced intermittent development over several decades due to various technical, economic, and logistical challenges. The deposit's remote location in Egypt's Western Desert has required substantial infrastructure investment to support large-scale mining operations, while water scarcity in this arid environment has limited beneficiation and processing options. Previous development attempts under Ministry of Industry control produced only 300,000 tons of phosphate rock over a thirty-year period, reflecting the challenges of developing such remote, large-scale mineral resources.</w:t>
      </w:r>
    </w:p>
    <w:p w14:paraId="3CCA73FE"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The transfer of Abu </w:t>
      </w:r>
      <w:proofErr w:type="spellStart"/>
      <w:r w:rsidRPr="00A047B6">
        <w:rPr>
          <w:rFonts w:ascii="Calibri" w:hAnsi="Calibri" w:cs="Calibri"/>
          <w:sz w:val="20"/>
          <w:szCs w:val="20"/>
        </w:rPr>
        <w:t>Tartour</w:t>
      </w:r>
      <w:proofErr w:type="spellEnd"/>
      <w:r w:rsidRPr="00A047B6">
        <w:rPr>
          <w:rFonts w:ascii="Calibri" w:hAnsi="Calibri" w:cs="Calibri"/>
          <w:sz w:val="20"/>
          <w:szCs w:val="20"/>
        </w:rPr>
        <w:t xml:space="preserve"> development to Phosphate Misr Company in 2009 marked a turning point in the deposit's development trajectory. Phosphate Misr has implemented systematic development planning focused on achieving 5 million tons per year production capacity while preparing for downstream processing investments that will capture greater value from the exceptional ore quality. Current development includes mine planning, infrastructure construction, and preparation for the major phosphoric acid processing complex that will transform Abu </w:t>
      </w:r>
      <w:proofErr w:type="spellStart"/>
      <w:r w:rsidRPr="00A047B6">
        <w:rPr>
          <w:rFonts w:ascii="Calibri" w:hAnsi="Calibri" w:cs="Calibri"/>
          <w:sz w:val="20"/>
          <w:szCs w:val="20"/>
        </w:rPr>
        <w:t>Tartour</w:t>
      </w:r>
      <w:proofErr w:type="spellEnd"/>
      <w:r w:rsidRPr="00A047B6">
        <w:rPr>
          <w:rFonts w:ascii="Calibri" w:hAnsi="Calibri" w:cs="Calibri"/>
          <w:sz w:val="20"/>
          <w:szCs w:val="20"/>
        </w:rPr>
        <w:t xml:space="preserve"> from a raw material source into an integrated fertilizer production center.</w:t>
      </w:r>
    </w:p>
    <w:p w14:paraId="3DD0BE3A" w14:textId="77777777" w:rsidR="00A047B6" w:rsidRPr="00A047B6" w:rsidRDefault="00A047B6" w:rsidP="00A047B6">
      <w:pPr>
        <w:rPr>
          <w:rFonts w:ascii="Calibri" w:hAnsi="Calibri" w:cs="Calibri"/>
          <w:b/>
          <w:bCs/>
          <w:i/>
          <w:iCs/>
          <w:sz w:val="20"/>
          <w:szCs w:val="20"/>
        </w:rPr>
      </w:pPr>
      <w:r w:rsidRPr="00A047B6">
        <w:rPr>
          <w:rFonts w:ascii="Calibri" w:hAnsi="Calibri" w:cs="Calibri"/>
          <w:b/>
          <w:bCs/>
          <w:i/>
          <w:iCs/>
          <w:sz w:val="20"/>
          <w:szCs w:val="20"/>
        </w:rPr>
        <w:t>The USD 1.2 Billion Phosphoric Acid Complex: Transformational Investment</w:t>
      </w:r>
    </w:p>
    <w:p w14:paraId="0C1E8094"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The Abu </w:t>
      </w:r>
      <w:proofErr w:type="spellStart"/>
      <w:r w:rsidRPr="00A047B6">
        <w:rPr>
          <w:rFonts w:ascii="Calibri" w:hAnsi="Calibri" w:cs="Calibri"/>
          <w:sz w:val="20"/>
          <w:szCs w:val="20"/>
        </w:rPr>
        <w:t>Tartour</w:t>
      </w:r>
      <w:proofErr w:type="spellEnd"/>
      <w:r w:rsidRPr="00A047B6">
        <w:rPr>
          <w:rFonts w:ascii="Calibri" w:hAnsi="Calibri" w:cs="Calibri"/>
          <w:sz w:val="20"/>
          <w:szCs w:val="20"/>
        </w:rPr>
        <w:t xml:space="preserve"> phosphoric acid production complex represents the most significant single investment in Egypt's fertilizer industry history, with total project costs estimated at USD 1.2 billion and potential to fundamentally transform Egypt's position in global phosphate fertilizer markets. This world-class facility will utilize Abu Tartour's exceptional </w:t>
      </w:r>
      <w:proofErr w:type="gramStart"/>
      <w:r w:rsidRPr="00A047B6">
        <w:rPr>
          <w:rFonts w:ascii="Calibri" w:hAnsi="Calibri" w:cs="Calibri"/>
          <w:sz w:val="20"/>
          <w:szCs w:val="20"/>
        </w:rPr>
        <w:t>phosphate ore</w:t>
      </w:r>
      <w:proofErr w:type="gramEnd"/>
      <w:r w:rsidRPr="00A047B6">
        <w:rPr>
          <w:rFonts w:ascii="Calibri" w:hAnsi="Calibri" w:cs="Calibri"/>
          <w:sz w:val="20"/>
          <w:szCs w:val="20"/>
        </w:rPr>
        <w:t xml:space="preserve"> to produce merchant-grade phosphoric acid (MGA) with international specifications suitable for high-analysis phosphate and compound fertilizer production.</w:t>
      </w:r>
    </w:p>
    <w:p w14:paraId="09376883"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The project's development involves a sophisticated consortium of nine prominent Egyptian companies, each contributing specialized expertise and resources to ensure successful implementation. Major participants include Engineering for Petroleum and Process Industries (ENPPI), Petroleum Projects and Technical Consultations Company (PETROJET), Chemical Industries Holding Company, Abu Qir Fertilizers and Chemicals Industries Company, Misr Phosphate Company, and East Gas Company, among others. This consortium structure combines extensive engineering capabilities, project management expertise, operational experience, and financial resources necessary for complex industrial development.</w:t>
      </w:r>
    </w:p>
    <w:p w14:paraId="2DB12CA7"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Abu </w:t>
      </w:r>
      <w:proofErr w:type="spellStart"/>
      <w:r w:rsidRPr="00A047B6">
        <w:rPr>
          <w:rFonts w:ascii="Calibri" w:hAnsi="Calibri" w:cs="Calibri"/>
          <w:sz w:val="20"/>
          <w:szCs w:val="20"/>
        </w:rPr>
        <w:t>Tartour</w:t>
      </w:r>
      <w:proofErr w:type="spellEnd"/>
      <w:r w:rsidRPr="00A047B6">
        <w:rPr>
          <w:rFonts w:ascii="Calibri" w:hAnsi="Calibri" w:cs="Calibri"/>
          <w:sz w:val="20"/>
          <w:szCs w:val="20"/>
        </w:rPr>
        <w:t xml:space="preserve"> for Phosphoric Acid (AT-PHOS), the project's operating company, has selected world-class technology providers including </w:t>
      </w:r>
      <w:proofErr w:type="spellStart"/>
      <w:r w:rsidRPr="00A047B6">
        <w:rPr>
          <w:rFonts w:ascii="Calibri" w:hAnsi="Calibri" w:cs="Calibri"/>
          <w:sz w:val="20"/>
          <w:szCs w:val="20"/>
        </w:rPr>
        <w:t>Prayon</w:t>
      </w:r>
      <w:proofErr w:type="spellEnd"/>
      <w:r w:rsidRPr="00A047B6">
        <w:rPr>
          <w:rFonts w:ascii="Calibri" w:hAnsi="Calibri" w:cs="Calibri"/>
          <w:sz w:val="20"/>
          <w:szCs w:val="20"/>
        </w:rPr>
        <w:t xml:space="preserve"> Technologies of Belgium and K-Technologies of the United States as phosphoric acid process licensors. This technology selection ensures that the facility will incorporate the most advanced commercially proven phosphoric acid production processes available globally, providing optimal energy efficiency, environmental performance, and product quality capabilities.</w:t>
      </w:r>
    </w:p>
    <w:p w14:paraId="010ACBF4" w14:textId="77777777" w:rsidR="00A047B6" w:rsidRDefault="00A047B6" w:rsidP="00A047B6">
      <w:pPr>
        <w:rPr>
          <w:rFonts w:ascii="Calibri" w:hAnsi="Calibri" w:cs="Calibri"/>
          <w:sz w:val="20"/>
          <w:szCs w:val="20"/>
        </w:rPr>
      </w:pPr>
      <w:r w:rsidRPr="00A047B6">
        <w:rPr>
          <w:rFonts w:ascii="Calibri" w:hAnsi="Calibri" w:cs="Calibri"/>
          <w:sz w:val="20"/>
          <w:szCs w:val="20"/>
        </w:rPr>
        <w:t xml:space="preserve">The facility's planned production capacity of 500,000 tons annually of merchant-grade phosphoric acid positions the complex among the world's largest single-site phosphoric acid production facilities. This scale provides significant economies of scale while enabling substantial export volumes to serve growing global demand for high-quality phosphoric acid in fertilizer manufacturing, industrial applications, and food-grade uses. The facility's location within the Abu </w:t>
      </w:r>
      <w:proofErr w:type="spellStart"/>
      <w:r w:rsidRPr="00A047B6">
        <w:rPr>
          <w:rFonts w:ascii="Calibri" w:hAnsi="Calibri" w:cs="Calibri"/>
          <w:sz w:val="20"/>
          <w:szCs w:val="20"/>
        </w:rPr>
        <w:t>Tartour</w:t>
      </w:r>
      <w:proofErr w:type="spellEnd"/>
      <w:r w:rsidRPr="00A047B6">
        <w:rPr>
          <w:rFonts w:ascii="Calibri" w:hAnsi="Calibri" w:cs="Calibri"/>
          <w:sz w:val="20"/>
          <w:szCs w:val="20"/>
        </w:rPr>
        <w:t xml:space="preserve"> mining complex eliminates raw material transportation costs while providing secure ore supply for sustained operations.</w:t>
      </w:r>
    </w:p>
    <w:p w14:paraId="46E6E844" w14:textId="77777777" w:rsidR="0096209C" w:rsidRDefault="0096209C" w:rsidP="00A047B6">
      <w:pPr>
        <w:rPr>
          <w:rFonts w:ascii="Calibri" w:hAnsi="Calibri" w:cs="Calibri"/>
          <w:sz w:val="20"/>
          <w:szCs w:val="20"/>
        </w:rPr>
      </w:pPr>
    </w:p>
    <w:p w14:paraId="19CA1918" w14:textId="77777777" w:rsidR="0096209C" w:rsidRPr="00A047B6" w:rsidRDefault="0096209C" w:rsidP="00A047B6">
      <w:pPr>
        <w:rPr>
          <w:rFonts w:ascii="Calibri" w:hAnsi="Calibri" w:cs="Calibri"/>
          <w:sz w:val="20"/>
          <w:szCs w:val="20"/>
        </w:rPr>
      </w:pPr>
    </w:p>
    <w:p w14:paraId="163EF57B" w14:textId="77777777" w:rsidR="00A047B6" w:rsidRPr="00A047B6" w:rsidRDefault="00A047B6" w:rsidP="00A047B6">
      <w:pPr>
        <w:rPr>
          <w:rFonts w:ascii="Calibri" w:hAnsi="Calibri" w:cs="Calibri"/>
          <w:b/>
          <w:bCs/>
          <w:i/>
          <w:iCs/>
          <w:sz w:val="20"/>
          <w:szCs w:val="20"/>
        </w:rPr>
      </w:pPr>
      <w:r w:rsidRPr="00A047B6">
        <w:rPr>
          <w:rFonts w:ascii="Calibri" w:hAnsi="Calibri" w:cs="Calibri"/>
          <w:b/>
          <w:bCs/>
          <w:i/>
          <w:iCs/>
          <w:sz w:val="20"/>
          <w:szCs w:val="20"/>
        </w:rPr>
        <w:lastRenderedPageBreak/>
        <w:t>Project Implementation Timeline and Development Phases</w:t>
      </w:r>
    </w:p>
    <w:p w14:paraId="085C3F1D"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The Abu </w:t>
      </w:r>
      <w:proofErr w:type="spellStart"/>
      <w:r w:rsidRPr="00A047B6">
        <w:rPr>
          <w:rFonts w:ascii="Calibri" w:hAnsi="Calibri" w:cs="Calibri"/>
          <w:sz w:val="20"/>
          <w:szCs w:val="20"/>
        </w:rPr>
        <w:t>Tartour</w:t>
      </w:r>
      <w:proofErr w:type="spellEnd"/>
      <w:r w:rsidRPr="00A047B6">
        <w:rPr>
          <w:rFonts w:ascii="Calibri" w:hAnsi="Calibri" w:cs="Calibri"/>
          <w:sz w:val="20"/>
          <w:szCs w:val="20"/>
        </w:rPr>
        <w:t xml:space="preserve"> phosphoric acid complex development follows a carefully structured two-phase implementation timeline designed to manage construction risks while enabling early production and revenue generation. Phase 1, scheduled to begin construction in 2026, will establish initial production capacity of 250,000 tons annually with commercial operations targeted for 2028. This initial phase enables project validation, operational optimization, and market development while generating cash flow to support Phase 2 development.</w:t>
      </w:r>
    </w:p>
    <w:p w14:paraId="55EDE8D4"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Phase 2 expansion will add additional 250,000 tons annual capacity, bringing total facility output to the planned 500,000 tons per year. The phased development approach provides flexibility to incorporate operational experience from Phase 1 while potentially adjusting facility design or capacity based on market conditions and operational performance. This approach minimizes construction risk while enabling accelerated market entry and revenue generation.</w:t>
      </w:r>
    </w:p>
    <w:p w14:paraId="2309F26F"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All agreements and contracts required for project advancement were completed in June 2025, clearing regulatory and commercial hurdles for construction commencement. Engineering, procurement, and construction (EPC) contracts are expected to be finalized by the end of June 2025, paving the way for construction to begin in 2026 as planned.</w:t>
      </w:r>
    </w:p>
    <w:p w14:paraId="4FA64D36"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The project's financing structure demonstrates sophisticated capital management through multiple potential approaches. The consortium is exploring two primary financing strategies: securing approximately 65% of total investment from external financing sources including banks and investment firms while self-funding the remaining 35% through consortium member contributions, or alternatively, inviting new local or international investors to join the project with specific equity stakes in exchange for capital contributions and potential technical expertise.</w:t>
      </w:r>
    </w:p>
    <w:p w14:paraId="39ECF5FF" w14:textId="77777777" w:rsidR="00A047B6" w:rsidRPr="00A047B6" w:rsidRDefault="00A047B6" w:rsidP="00A047B6">
      <w:pPr>
        <w:rPr>
          <w:rFonts w:ascii="Calibri" w:hAnsi="Calibri" w:cs="Calibri"/>
          <w:b/>
          <w:bCs/>
          <w:i/>
          <w:iCs/>
          <w:sz w:val="20"/>
          <w:szCs w:val="20"/>
        </w:rPr>
      </w:pPr>
      <w:r w:rsidRPr="00A047B6">
        <w:rPr>
          <w:rFonts w:ascii="Calibri" w:hAnsi="Calibri" w:cs="Calibri"/>
          <w:b/>
          <w:bCs/>
          <w:i/>
          <w:iCs/>
          <w:sz w:val="20"/>
          <w:szCs w:val="20"/>
        </w:rPr>
        <w:t>Strategic Impact on Egypt's Fertilizer Industry</w:t>
      </w:r>
    </w:p>
    <w:p w14:paraId="52A60842"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The Abu </w:t>
      </w:r>
      <w:proofErr w:type="spellStart"/>
      <w:r w:rsidRPr="00A047B6">
        <w:rPr>
          <w:rFonts w:ascii="Calibri" w:hAnsi="Calibri" w:cs="Calibri"/>
          <w:sz w:val="20"/>
          <w:szCs w:val="20"/>
        </w:rPr>
        <w:t>Tartour</w:t>
      </w:r>
      <w:proofErr w:type="spellEnd"/>
      <w:r w:rsidRPr="00A047B6">
        <w:rPr>
          <w:rFonts w:ascii="Calibri" w:hAnsi="Calibri" w:cs="Calibri"/>
          <w:sz w:val="20"/>
          <w:szCs w:val="20"/>
        </w:rPr>
        <w:t xml:space="preserve"> phosphoric acid complex represents far more than a single industrial project; it embodies Egypt's strategic transformation from raw material exporter to value-added manufacturer in global fertilizer markets. Historically, Egypt has exported phosphate rock at commodity prices while importing processed phosphate fertilizers at premium prices, creating substantial value transfer to international processing companies. The Abu </w:t>
      </w:r>
      <w:proofErr w:type="spellStart"/>
      <w:r w:rsidRPr="00A047B6">
        <w:rPr>
          <w:rFonts w:ascii="Calibri" w:hAnsi="Calibri" w:cs="Calibri"/>
          <w:sz w:val="20"/>
          <w:szCs w:val="20"/>
        </w:rPr>
        <w:t>Tartour</w:t>
      </w:r>
      <w:proofErr w:type="spellEnd"/>
      <w:r w:rsidRPr="00A047B6">
        <w:rPr>
          <w:rFonts w:ascii="Calibri" w:hAnsi="Calibri" w:cs="Calibri"/>
          <w:sz w:val="20"/>
          <w:szCs w:val="20"/>
        </w:rPr>
        <w:t xml:space="preserve"> complex reverses this dynamic by capturing phosphoric acid processing margins domestically while positioning Egypt as a supplier of high-value intermediate and finished products.</w:t>
      </w:r>
    </w:p>
    <w:p w14:paraId="4697B6E6"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The facility's merchant-grade phosphoric acid production will serve as feedstock for downstream fertilizer manufacturing throughout Egypt and the broader region. This integrated approach enables production of diammonium phosphate (DAP), monoammonium phosphate (MAP), and triple superphosphate (TSP) fertilizers that command premium pricing compared to raw phosphate rock exports. The strategic integration supports Egypt's broader objective of increasing the mining sector's contribution to gross domestic product from less than 1% to 6% through value-added manufacturing development.</w:t>
      </w:r>
    </w:p>
    <w:p w14:paraId="4550771C"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New Valley Governorate, where Abu </w:t>
      </w:r>
      <w:proofErr w:type="spellStart"/>
      <w:r w:rsidRPr="00A047B6">
        <w:rPr>
          <w:rFonts w:ascii="Calibri" w:hAnsi="Calibri" w:cs="Calibri"/>
          <w:sz w:val="20"/>
          <w:szCs w:val="20"/>
        </w:rPr>
        <w:t>Tartour</w:t>
      </w:r>
      <w:proofErr w:type="spellEnd"/>
      <w:r w:rsidRPr="00A047B6">
        <w:rPr>
          <w:rFonts w:ascii="Calibri" w:hAnsi="Calibri" w:cs="Calibri"/>
          <w:sz w:val="20"/>
          <w:szCs w:val="20"/>
        </w:rPr>
        <w:t xml:space="preserve"> is located, represents approximately half of Egypt's total land mass but has historically faced economic development challenges due to its sparse population and remote location within the Western Desert. </w:t>
      </w:r>
      <w:proofErr w:type="gramStart"/>
      <w:r w:rsidRPr="00A047B6">
        <w:rPr>
          <w:rFonts w:ascii="Calibri" w:hAnsi="Calibri" w:cs="Calibri"/>
          <w:sz w:val="20"/>
          <w:szCs w:val="20"/>
        </w:rPr>
        <w:t>The phosphoric</w:t>
      </w:r>
      <w:proofErr w:type="gramEnd"/>
      <w:r w:rsidRPr="00A047B6">
        <w:rPr>
          <w:rFonts w:ascii="Calibri" w:hAnsi="Calibri" w:cs="Calibri"/>
          <w:sz w:val="20"/>
          <w:szCs w:val="20"/>
        </w:rPr>
        <w:t xml:space="preserve"> acid complex development provides an ideal industrial catalyst for regional development, creating direct employment opportunities, supporting service industries, and attracting complementary industrial investments that will benefit the broader governorate economy.</w:t>
      </w:r>
    </w:p>
    <w:p w14:paraId="78B7D252" w14:textId="77777777" w:rsidR="0096209C" w:rsidRDefault="0096209C" w:rsidP="00A047B6">
      <w:pPr>
        <w:rPr>
          <w:rFonts w:ascii="Calibri" w:hAnsi="Calibri" w:cs="Calibri"/>
          <w:sz w:val="20"/>
          <w:szCs w:val="20"/>
        </w:rPr>
      </w:pPr>
    </w:p>
    <w:p w14:paraId="60684B16" w14:textId="77777777" w:rsidR="0096209C" w:rsidRDefault="0096209C" w:rsidP="00A047B6">
      <w:pPr>
        <w:rPr>
          <w:rFonts w:ascii="Calibri" w:hAnsi="Calibri" w:cs="Calibri"/>
          <w:sz w:val="20"/>
          <w:szCs w:val="20"/>
        </w:rPr>
      </w:pPr>
    </w:p>
    <w:p w14:paraId="3AF65A0B" w14:textId="3F0C92CB" w:rsidR="00A047B6" w:rsidRPr="00A047B6" w:rsidRDefault="00A047B6" w:rsidP="00A047B6">
      <w:pPr>
        <w:rPr>
          <w:rFonts w:ascii="Calibri" w:hAnsi="Calibri" w:cs="Calibri"/>
          <w:b/>
          <w:bCs/>
          <w:i/>
          <w:iCs/>
          <w:sz w:val="20"/>
          <w:szCs w:val="20"/>
        </w:rPr>
      </w:pPr>
      <w:r w:rsidRPr="00A047B6">
        <w:rPr>
          <w:rFonts w:ascii="Calibri" w:hAnsi="Calibri" w:cs="Calibri"/>
          <w:b/>
          <w:bCs/>
          <w:i/>
          <w:iCs/>
          <w:sz w:val="20"/>
          <w:szCs w:val="20"/>
        </w:rPr>
        <w:lastRenderedPageBreak/>
        <w:t>Infrastructure Development and Regional Integration</w:t>
      </w:r>
    </w:p>
    <w:p w14:paraId="17E92EEA"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The Abu </w:t>
      </w:r>
      <w:proofErr w:type="spellStart"/>
      <w:r w:rsidRPr="00A047B6">
        <w:rPr>
          <w:rFonts w:ascii="Calibri" w:hAnsi="Calibri" w:cs="Calibri"/>
          <w:sz w:val="20"/>
          <w:szCs w:val="20"/>
        </w:rPr>
        <w:t>Tartour</w:t>
      </w:r>
      <w:proofErr w:type="spellEnd"/>
      <w:r w:rsidRPr="00A047B6">
        <w:rPr>
          <w:rFonts w:ascii="Calibri" w:hAnsi="Calibri" w:cs="Calibri"/>
          <w:sz w:val="20"/>
          <w:szCs w:val="20"/>
        </w:rPr>
        <w:t xml:space="preserve"> project's success requires substantial infrastructure development that extends far beyond the production facility itself. New Valley Deputy Governor Hanan Magdy has outlined comprehensive infrastructure projects that will bring over 1,800 miles of new roadways and solar power stations carrying 4 gigawatts of capacity to directly support mining and processing operations in the region. This infrastructure investment creates lasting benefits that will support future industrial development while improving quality of life for regional residents.</w:t>
      </w:r>
    </w:p>
    <w:p w14:paraId="67B99575"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The road network development provides critical connections between Abu </w:t>
      </w:r>
      <w:proofErr w:type="spellStart"/>
      <w:r w:rsidRPr="00A047B6">
        <w:rPr>
          <w:rFonts w:ascii="Calibri" w:hAnsi="Calibri" w:cs="Calibri"/>
          <w:sz w:val="20"/>
          <w:szCs w:val="20"/>
        </w:rPr>
        <w:t>Tartour</w:t>
      </w:r>
      <w:proofErr w:type="spellEnd"/>
      <w:r w:rsidRPr="00A047B6">
        <w:rPr>
          <w:rFonts w:ascii="Calibri" w:hAnsi="Calibri" w:cs="Calibri"/>
          <w:sz w:val="20"/>
          <w:szCs w:val="20"/>
        </w:rPr>
        <w:t xml:space="preserve"> mining operations, processing facilities, and export ports along the Red Sea coast. Improved transportation infrastructure reduces operating costs while enabling efficient movement of raw materials, finished products, and personnel required for large-scale industrial operations. The road investments also support broader economic development by improving access to markets, services, and employment opportunities throughout the New Valley region.</w:t>
      </w:r>
    </w:p>
    <w:p w14:paraId="55A78A29"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Solar power development aligns with Egypt's national renewable energy strategy while providing sustainable, cost-effective energy for energy-intensive phosphoric acid production operations. The 4-gigawatt solar capacity represents substantial clean energy investment that reduces production costs while minimizing environmental impact compared to conventional power sources. This renewable energy integration positions Abu </w:t>
      </w:r>
      <w:proofErr w:type="spellStart"/>
      <w:r w:rsidRPr="00A047B6">
        <w:rPr>
          <w:rFonts w:ascii="Calibri" w:hAnsi="Calibri" w:cs="Calibri"/>
          <w:sz w:val="20"/>
          <w:szCs w:val="20"/>
        </w:rPr>
        <w:t>Tartour</w:t>
      </w:r>
      <w:proofErr w:type="spellEnd"/>
      <w:r w:rsidRPr="00A047B6">
        <w:rPr>
          <w:rFonts w:ascii="Calibri" w:hAnsi="Calibri" w:cs="Calibri"/>
          <w:sz w:val="20"/>
          <w:szCs w:val="20"/>
        </w:rPr>
        <w:t xml:space="preserve"> as a leader in sustainable fertilizer production, potentially enabling access to premium markets that prioritize environmentally responsible supply chains.</w:t>
      </w:r>
    </w:p>
    <w:p w14:paraId="176C2CE0" w14:textId="77777777" w:rsidR="00A047B6" w:rsidRPr="00A047B6" w:rsidRDefault="00A047B6" w:rsidP="00A047B6">
      <w:pPr>
        <w:rPr>
          <w:rFonts w:ascii="Calibri" w:hAnsi="Calibri" w:cs="Calibri"/>
          <w:b/>
          <w:bCs/>
          <w:sz w:val="28"/>
          <w:szCs w:val="28"/>
        </w:rPr>
      </w:pPr>
      <w:r w:rsidRPr="00A047B6">
        <w:rPr>
          <w:rFonts w:ascii="Calibri" w:hAnsi="Calibri" w:cs="Calibri"/>
          <w:b/>
          <w:bCs/>
          <w:sz w:val="28"/>
          <w:szCs w:val="28"/>
        </w:rPr>
        <w:t>Future Investment Projects and Industry Expansion</w:t>
      </w:r>
    </w:p>
    <w:p w14:paraId="2C024905" w14:textId="77777777" w:rsidR="00A047B6" w:rsidRPr="00A047B6" w:rsidRDefault="00A047B6" w:rsidP="00A047B6">
      <w:pPr>
        <w:rPr>
          <w:rFonts w:ascii="Calibri" w:hAnsi="Calibri" w:cs="Calibri"/>
          <w:b/>
          <w:bCs/>
          <w:i/>
          <w:iCs/>
          <w:sz w:val="20"/>
          <w:szCs w:val="20"/>
        </w:rPr>
      </w:pPr>
      <w:r w:rsidRPr="00A047B6">
        <w:rPr>
          <w:rFonts w:ascii="Calibri" w:hAnsi="Calibri" w:cs="Calibri"/>
          <w:b/>
          <w:bCs/>
          <w:i/>
          <w:iCs/>
          <w:sz w:val="20"/>
          <w:szCs w:val="20"/>
        </w:rPr>
        <w:t>International Joint Ventures and Strategic Partnerships</w:t>
      </w:r>
    </w:p>
    <w:p w14:paraId="6EB80EC5"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Egypt's fertilizer industry expansion strategy emphasizes international partnerships that combine Egyptian resources and strategic advantages with global technology, capital, and market access capabilities. These partnerships have demonstrated remarkable success in attracting foreign investment while ensuring technology transfer and local capability development that supports sustained industry growth.</w:t>
      </w:r>
    </w:p>
    <w:p w14:paraId="261B801F"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The partnership with Indorama, a leading Indian industrial conglomerate, represents a significant USD 500 million investment in phosphate fertilizer manufacturing at the Ain Sokhna economic zone. This collaboration combines Indorama's extensive fertilizer production experience and Asian market access with Egypt's phosphate resources and strategic location. The project focuses on export-oriented production that will serve both established and emerging markets while demonstrating Egypt's attractiveness for major international industrial investments.</w:t>
      </w:r>
    </w:p>
    <w:p w14:paraId="080EF61D"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Chinese investment through Asia-Potash company involves a comprehensive USD 1.6 billion first-phase industrial complex that integrates phosphate mining, processing, and fertilizer manufacturing operations. This ambitious project includes exploration and extraction capabilities targeting 2 million tons per year of phosphate production with conversion to finished fertilizers for export markets. The Chinese partnership brings substantial financial resources, advanced technology, and extensive global market access that positions Egypt to compete effectively in international fertilizer markets.</w:t>
      </w:r>
    </w:p>
    <w:p w14:paraId="410469A3" w14:textId="77777777" w:rsidR="00A047B6" w:rsidRDefault="00A047B6" w:rsidP="00A047B6">
      <w:pPr>
        <w:rPr>
          <w:rFonts w:ascii="Calibri" w:hAnsi="Calibri" w:cs="Calibri"/>
          <w:sz w:val="20"/>
          <w:szCs w:val="20"/>
        </w:rPr>
      </w:pPr>
      <w:r w:rsidRPr="00A047B6">
        <w:rPr>
          <w:rFonts w:ascii="Calibri" w:hAnsi="Calibri" w:cs="Calibri"/>
          <w:sz w:val="20"/>
          <w:szCs w:val="20"/>
        </w:rPr>
        <w:t>These international partnerships demonstrate Egypt's ability to attract world-class industrial investors while maintaining strategic control over key resources and operations. The partnership structures typically provide foreign investors with attractive returns while ensuring substantial technology transfer, local employment generation, and export revenue creation that benefits Egypt's broader economic development objectives.</w:t>
      </w:r>
    </w:p>
    <w:p w14:paraId="61C9FE33" w14:textId="77777777" w:rsidR="0096209C" w:rsidRPr="00A047B6" w:rsidRDefault="0096209C" w:rsidP="00A047B6">
      <w:pPr>
        <w:rPr>
          <w:rFonts w:ascii="Calibri" w:hAnsi="Calibri" w:cs="Calibri"/>
          <w:sz w:val="20"/>
          <w:szCs w:val="20"/>
        </w:rPr>
      </w:pPr>
    </w:p>
    <w:p w14:paraId="61556768" w14:textId="77777777" w:rsidR="00A047B6" w:rsidRPr="00A047B6" w:rsidRDefault="00A047B6" w:rsidP="00A047B6">
      <w:pPr>
        <w:rPr>
          <w:rFonts w:ascii="Calibri" w:hAnsi="Calibri" w:cs="Calibri"/>
          <w:b/>
          <w:bCs/>
          <w:i/>
          <w:iCs/>
          <w:sz w:val="20"/>
          <w:szCs w:val="20"/>
        </w:rPr>
      </w:pPr>
      <w:proofErr w:type="spellStart"/>
      <w:r w:rsidRPr="00A047B6">
        <w:rPr>
          <w:rFonts w:ascii="Calibri" w:hAnsi="Calibri" w:cs="Calibri"/>
          <w:b/>
          <w:bCs/>
          <w:i/>
          <w:iCs/>
          <w:sz w:val="20"/>
          <w:szCs w:val="20"/>
        </w:rPr>
        <w:lastRenderedPageBreak/>
        <w:t>Fertiglobe</w:t>
      </w:r>
      <w:proofErr w:type="spellEnd"/>
      <w:r w:rsidRPr="00A047B6">
        <w:rPr>
          <w:rFonts w:ascii="Calibri" w:hAnsi="Calibri" w:cs="Calibri"/>
          <w:b/>
          <w:bCs/>
          <w:i/>
          <w:iCs/>
          <w:sz w:val="20"/>
          <w:szCs w:val="20"/>
        </w:rPr>
        <w:t xml:space="preserve"> Clean Ammonia and Sustainability Initiatives</w:t>
      </w:r>
    </w:p>
    <w:p w14:paraId="246CEEC7" w14:textId="77777777" w:rsidR="00A047B6" w:rsidRPr="00A047B6" w:rsidRDefault="00A047B6" w:rsidP="00A047B6">
      <w:pPr>
        <w:rPr>
          <w:rFonts w:ascii="Calibri" w:hAnsi="Calibri" w:cs="Calibri"/>
          <w:sz w:val="20"/>
          <w:szCs w:val="20"/>
        </w:rPr>
      </w:pPr>
      <w:proofErr w:type="spellStart"/>
      <w:r w:rsidRPr="00A047B6">
        <w:rPr>
          <w:rFonts w:ascii="Calibri" w:hAnsi="Calibri" w:cs="Calibri"/>
          <w:sz w:val="20"/>
          <w:szCs w:val="20"/>
        </w:rPr>
        <w:t>Fertiglobe's</w:t>
      </w:r>
      <w:proofErr w:type="spellEnd"/>
      <w:r w:rsidRPr="00A047B6">
        <w:rPr>
          <w:rFonts w:ascii="Calibri" w:hAnsi="Calibri" w:cs="Calibri"/>
          <w:sz w:val="20"/>
          <w:szCs w:val="20"/>
        </w:rPr>
        <w:t xml:space="preserve"> Egyptian operations have emerged as global leaders in clean ammonia development and renewable energy integration within fertilizer production processes. The company has commissioned the first phase of a 100 MW green hydrogen plant at Ain Sokhna, representing pioneering development in renewable energy-powered fertilizer production. This facility demonstrates practical integration of renewable energy with traditional ammonia synthesis, creating pathways for low-carbon fertilizer production that meets growing global demand for sustainable agricultural inputs.</w:t>
      </w:r>
    </w:p>
    <w:p w14:paraId="021114A6"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The green hydrogen facility enables production of renewable ammonia through electrolysis-powered hydrogen generation combined with conventional ammonia synthesis processes. This hybrid approach maintains production reliability and cost competitiveness while substantially reducing carbon footprint compared to conventional natural gas-based production. </w:t>
      </w:r>
      <w:proofErr w:type="spellStart"/>
      <w:r w:rsidRPr="00A047B6">
        <w:rPr>
          <w:rFonts w:ascii="Calibri" w:hAnsi="Calibri" w:cs="Calibri"/>
          <w:sz w:val="20"/>
          <w:szCs w:val="20"/>
        </w:rPr>
        <w:t>Fertiglobe's</w:t>
      </w:r>
      <w:proofErr w:type="spellEnd"/>
      <w:r w:rsidRPr="00A047B6">
        <w:rPr>
          <w:rFonts w:ascii="Calibri" w:hAnsi="Calibri" w:cs="Calibri"/>
          <w:sz w:val="20"/>
          <w:szCs w:val="20"/>
        </w:rPr>
        <w:t xml:space="preserve"> renewable ammonia has achieved world's first ISCC PLUS certification, demonstrating compliance with international sustainability standards and enabling access to premium markets that prioritize environmental performance.</w:t>
      </w:r>
    </w:p>
    <w:p w14:paraId="6451DB4D"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Trial shipments of diesel exhaust fluid (DEF) to European markets demonstrate </w:t>
      </w:r>
      <w:proofErr w:type="spellStart"/>
      <w:r w:rsidRPr="00A047B6">
        <w:rPr>
          <w:rFonts w:ascii="Calibri" w:hAnsi="Calibri" w:cs="Calibri"/>
          <w:sz w:val="20"/>
          <w:szCs w:val="20"/>
        </w:rPr>
        <w:t>Fertiglobe's</w:t>
      </w:r>
      <w:proofErr w:type="spellEnd"/>
      <w:r w:rsidRPr="00A047B6">
        <w:rPr>
          <w:rFonts w:ascii="Calibri" w:hAnsi="Calibri" w:cs="Calibri"/>
          <w:sz w:val="20"/>
          <w:szCs w:val="20"/>
        </w:rPr>
        <w:t xml:space="preserve"> diversification into specialized industrial applications beyond traditional fertilizer markets. DEF represents a growing market driven by emissions regulations for diesel engines, providing attractive margins and market diversification opportunities. The successful trial shipments validate product quality and supply chain capabilities while opening potential new revenue streams from existing production infrastructure.</w:t>
      </w:r>
    </w:p>
    <w:p w14:paraId="3356FF41"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These sustainability initiatives position </w:t>
      </w:r>
      <w:proofErr w:type="spellStart"/>
      <w:r w:rsidRPr="00A047B6">
        <w:rPr>
          <w:rFonts w:ascii="Calibri" w:hAnsi="Calibri" w:cs="Calibri"/>
          <w:sz w:val="20"/>
          <w:szCs w:val="20"/>
        </w:rPr>
        <w:t>Fertiglobe's</w:t>
      </w:r>
      <w:proofErr w:type="spellEnd"/>
      <w:r w:rsidRPr="00A047B6">
        <w:rPr>
          <w:rFonts w:ascii="Calibri" w:hAnsi="Calibri" w:cs="Calibri"/>
          <w:sz w:val="20"/>
          <w:szCs w:val="20"/>
        </w:rPr>
        <w:t xml:space="preserve"> Egyptian operations at the forefront of global trends toward cleaner fertilizer production and industrial processes. The demonstrated capabilities provide competitive advantages in markets that increasingly prioritize environmental performance while potentially enabling access to carbon credit markets and sustainability-focused investment capital.</w:t>
      </w:r>
    </w:p>
    <w:p w14:paraId="2B8B28C5" w14:textId="77777777" w:rsidR="00A047B6" w:rsidRPr="00A047B6" w:rsidRDefault="00A047B6" w:rsidP="00A047B6">
      <w:pPr>
        <w:rPr>
          <w:rFonts w:ascii="Calibri" w:hAnsi="Calibri" w:cs="Calibri"/>
          <w:b/>
          <w:bCs/>
          <w:i/>
          <w:iCs/>
          <w:sz w:val="20"/>
          <w:szCs w:val="20"/>
        </w:rPr>
      </w:pPr>
      <w:r w:rsidRPr="00A047B6">
        <w:rPr>
          <w:rFonts w:ascii="Calibri" w:hAnsi="Calibri" w:cs="Calibri"/>
          <w:b/>
          <w:bCs/>
          <w:i/>
          <w:iCs/>
          <w:sz w:val="20"/>
          <w:szCs w:val="20"/>
        </w:rPr>
        <w:t>Domestic Capacity Expansion and Modernization</w:t>
      </w:r>
    </w:p>
    <w:p w14:paraId="14A7E456"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MOPCO's recent completion of major expansion programs demonstrates continued domestic investment in fertilizer production capacity and technological advancement. The company's USD 2 billion investment in modernization and new ammonia production units successfully tripled urea production capacity from 650,000 to 2 million tons per year, establishing MOPCO as a major force in global urea markets while significantly enhancing Egypt's export capabilities.</w:t>
      </w:r>
    </w:p>
    <w:p w14:paraId="07EF77C2"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The expansion incorporated advanced process technology and environmental controls that position MOPCO among the most efficient and environmentally responsible urea producers globally. Modern production facilities include state-of-the-art process control systems, emissions monitoring equipment, and energy optimization technology that reduces production costs while minimizing environmental impact. These technological improvements demonstrate Egypt's commitment to world-class manufacturing standards and sustainable industrial development.</w:t>
      </w:r>
    </w:p>
    <w:p w14:paraId="08D21004"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MOPCO's Damietta location provides optimal logistics advantages for export operations through dedicated port facilities and direct shipping access to global markets. The facility's strategic positioning enables competitive delivered pricing to key export markets while maintaining attractive margins for Egyptian operations. Enhanced production capacity positions MOPCO to capture growing shares of international urea trade while serving expanding domestic agricultural demand.</w:t>
      </w:r>
    </w:p>
    <w:p w14:paraId="7DBD2851"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Additional domestic expansion projects across Egypt's fertilizer industry reflect sustained confidence in market growth prospects and export opportunities. These investments include capacity additions, technology upgrades, </w:t>
      </w:r>
      <w:r w:rsidRPr="00A047B6">
        <w:rPr>
          <w:rFonts w:ascii="Calibri" w:hAnsi="Calibri" w:cs="Calibri"/>
          <w:sz w:val="20"/>
          <w:szCs w:val="20"/>
        </w:rPr>
        <w:lastRenderedPageBreak/>
        <w:t>and efficiency improvements that enhance competitiveness while supporting Egypt's strategic objectives for increased manufacturing sector contribution to economic development and export revenue generation.</w:t>
      </w:r>
    </w:p>
    <w:p w14:paraId="5CC09479" w14:textId="77777777" w:rsidR="00A047B6" w:rsidRPr="00A047B6" w:rsidRDefault="00A047B6" w:rsidP="00A047B6">
      <w:pPr>
        <w:rPr>
          <w:rFonts w:ascii="Calibri" w:hAnsi="Calibri" w:cs="Calibri"/>
          <w:b/>
          <w:bCs/>
          <w:sz w:val="28"/>
          <w:szCs w:val="28"/>
        </w:rPr>
      </w:pPr>
      <w:r w:rsidRPr="00A047B6">
        <w:rPr>
          <w:rFonts w:ascii="Calibri" w:hAnsi="Calibri" w:cs="Calibri"/>
          <w:b/>
          <w:bCs/>
          <w:sz w:val="28"/>
          <w:szCs w:val="28"/>
        </w:rPr>
        <w:t>Global Market Position and Competitive Advantages</w:t>
      </w:r>
    </w:p>
    <w:p w14:paraId="630CD945" w14:textId="77777777" w:rsidR="00A047B6" w:rsidRPr="00A047B6" w:rsidRDefault="00A047B6" w:rsidP="00A047B6">
      <w:pPr>
        <w:rPr>
          <w:rFonts w:ascii="Calibri" w:hAnsi="Calibri" w:cs="Calibri"/>
          <w:b/>
          <w:bCs/>
          <w:i/>
          <w:iCs/>
          <w:sz w:val="20"/>
          <w:szCs w:val="20"/>
        </w:rPr>
      </w:pPr>
      <w:r w:rsidRPr="00A047B6">
        <w:rPr>
          <w:rFonts w:ascii="Calibri" w:hAnsi="Calibri" w:cs="Calibri"/>
          <w:b/>
          <w:bCs/>
          <w:i/>
          <w:iCs/>
          <w:sz w:val="20"/>
          <w:szCs w:val="20"/>
        </w:rPr>
        <w:t>Strategic Geographic Positioning and Market Access</w:t>
      </w:r>
    </w:p>
    <w:p w14:paraId="7EF81ACF"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Egypt's emergence as a major global fertilizer exporter reflects the country's exceptional geographic positioning at the intersection of Africa, Europe, and Asia markets combined with direct access to both Mediterranean and Red Sea shipping routes. This unique location provides Egyptian fertilizer producers with unparalleled market access advantages that translate into competitive delivered pricing across multiple major markets while enabling flexible routing based on seasonal demand patterns and market conditions.</w:t>
      </w:r>
    </w:p>
    <w:p w14:paraId="0F2962E0"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The country's proximity to the Suez Canal creates </w:t>
      </w:r>
      <w:proofErr w:type="gramStart"/>
      <w:r w:rsidRPr="00A047B6">
        <w:rPr>
          <w:rFonts w:ascii="Calibri" w:hAnsi="Calibri" w:cs="Calibri"/>
          <w:sz w:val="20"/>
          <w:szCs w:val="20"/>
        </w:rPr>
        <w:t>particular advantages</w:t>
      </w:r>
      <w:proofErr w:type="gramEnd"/>
      <w:r w:rsidRPr="00A047B6">
        <w:rPr>
          <w:rFonts w:ascii="Calibri" w:hAnsi="Calibri" w:cs="Calibri"/>
          <w:sz w:val="20"/>
          <w:szCs w:val="20"/>
        </w:rPr>
        <w:t xml:space="preserve"> for serving European markets, which have emerged as increasingly important destinations for Egyptian fertilizer exports. Egypt achieved recognition as Europe's third-largest fertilizer supplier with EUR 85 million in exports during July 2024 alone, demonstrating remarkable market share gains driven by both competitive positioning and supply chain diversification trends affecting European agricultural markets.</w:t>
      </w:r>
    </w:p>
    <w:p w14:paraId="41C2DF9A"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European market development reflects broader geopolitical trends that have created opportunities for reliable suppliers like Egypt to capture market share previously held by traditional suppliers facing various constraints. Egyptian fertilizer producers have successfully demonstrated product quality, delivery reliability, and competitive pricing required to serve sophisticated European agricultural markets while building long-term customer relationships that support sustained export growth.</w:t>
      </w:r>
    </w:p>
    <w:p w14:paraId="6C08E192"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African market development represents another significant opportunity for Egyptian fertilizer exporters, leveraging geographic proximity, cultural connections, and established trading relationships throughout the continent. Sub-Saharan African agricultural development programs increasingly require substantial fertilizer inputs to achieve food security objectives, creating growing demand that aligns well with Egypt's expanding production capabilities and export orientation.</w:t>
      </w:r>
    </w:p>
    <w:p w14:paraId="2BC29AF2" w14:textId="77777777" w:rsidR="00A047B6" w:rsidRPr="00A047B6" w:rsidRDefault="00A047B6" w:rsidP="00A047B6">
      <w:pPr>
        <w:rPr>
          <w:rFonts w:ascii="Calibri" w:hAnsi="Calibri" w:cs="Calibri"/>
          <w:b/>
          <w:bCs/>
          <w:i/>
          <w:iCs/>
          <w:sz w:val="20"/>
          <w:szCs w:val="20"/>
        </w:rPr>
      </w:pPr>
      <w:r w:rsidRPr="00A047B6">
        <w:rPr>
          <w:rFonts w:ascii="Calibri" w:hAnsi="Calibri" w:cs="Calibri"/>
          <w:b/>
          <w:bCs/>
          <w:i/>
          <w:iCs/>
          <w:sz w:val="20"/>
          <w:szCs w:val="20"/>
        </w:rPr>
        <w:t>Cost Competitiveness and Production Efficiency</w:t>
      </w:r>
    </w:p>
    <w:p w14:paraId="63BF07F5"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Egypt's fertilizer industry benefits from several fundamental cost advantages that support sustained competitiveness in global markets. Abundant natural gas resources provide secure, competitively priced feedstock for nitrogen fertilizer production, while world-class phosphate deposits eliminate raw material sourcing costs for phosphate fertilizer manufacturing. These resource advantages create structural cost benefits that enable Egyptian producers to compete effectively even during periods of volatile global commodity pricing.</w:t>
      </w:r>
    </w:p>
    <w:p w14:paraId="32A13E3C"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Recent natural gas discoveries, particularly the massive Zohr field containing 850 billion cubic meters of reserves, provide long-term security for nitrogen fertilizer feedstock supply while potentially enabling expanded production capacity. The Zohr development, supported by international investment and technology partnerships, demonstrates Egypt's ability to develop world-class energy resources that support industrial development objectives while contributing to export revenue generation.</w:t>
      </w:r>
    </w:p>
    <w:p w14:paraId="6EDD63C7"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Energy infrastructure improvements including renewable energy integration provide additional cost advantages while supporting sustainability objectives that increasingly influence global fertilizer trade. Solar power development, particularly the 4-gigawatt capacity planned for New Valley industrial operations, reduces energy costs while minimizing carbon footprint compared to conventional power sources. These energy advantages </w:t>
      </w:r>
      <w:r w:rsidRPr="00A047B6">
        <w:rPr>
          <w:rFonts w:ascii="Calibri" w:hAnsi="Calibri" w:cs="Calibri"/>
          <w:sz w:val="20"/>
          <w:szCs w:val="20"/>
        </w:rPr>
        <w:lastRenderedPageBreak/>
        <w:t>contribute to overall cost competitiveness while enabling access to premium markets that prioritize environmental performance.</w:t>
      </w:r>
    </w:p>
    <w:p w14:paraId="3E49BD48"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Labor cost advantages combined with increasingly sophisticated workforce capabilities provide additional competitive benefits for Egyptian fertilizer operations. The country's substantial investments in technical education and training programs have developed skilled labor pools capable of supporting world-class chemical manufacturing operations while maintaining cost structures that compare favorably with other global fertilizer producing regions.</w:t>
      </w:r>
    </w:p>
    <w:p w14:paraId="2DEF53E4" w14:textId="77777777" w:rsidR="00A047B6" w:rsidRPr="00A047B6" w:rsidRDefault="00A047B6" w:rsidP="00A047B6">
      <w:pPr>
        <w:rPr>
          <w:rFonts w:ascii="Calibri" w:hAnsi="Calibri" w:cs="Calibri"/>
          <w:b/>
          <w:bCs/>
          <w:i/>
          <w:iCs/>
          <w:sz w:val="20"/>
          <w:szCs w:val="20"/>
        </w:rPr>
      </w:pPr>
      <w:r w:rsidRPr="00A047B6">
        <w:rPr>
          <w:rFonts w:ascii="Calibri" w:hAnsi="Calibri" w:cs="Calibri"/>
          <w:b/>
          <w:bCs/>
          <w:i/>
          <w:iCs/>
          <w:sz w:val="20"/>
          <w:szCs w:val="20"/>
        </w:rPr>
        <w:t>Technology Leadership and Operational Excellence</w:t>
      </w:r>
    </w:p>
    <w:p w14:paraId="51721869"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Egyptian fertilizer companies have achieved recognition for operational excellence through systematic implementation of international management standards and advanced process technologies. Major producers including Abu Qir, </w:t>
      </w:r>
      <w:proofErr w:type="spellStart"/>
      <w:r w:rsidRPr="00A047B6">
        <w:rPr>
          <w:rFonts w:ascii="Calibri" w:hAnsi="Calibri" w:cs="Calibri"/>
          <w:sz w:val="20"/>
          <w:szCs w:val="20"/>
        </w:rPr>
        <w:t>Fertiglobe's</w:t>
      </w:r>
      <w:proofErr w:type="spellEnd"/>
      <w:r w:rsidRPr="00A047B6">
        <w:rPr>
          <w:rFonts w:ascii="Calibri" w:hAnsi="Calibri" w:cs="Calibri"/>
          <w:sz w:val="20"/>
          <w:szCs w:val="20"/>
        </w:rPr>
        <w:t xml:space="preserve"> Egyptian operations, and MOPCO have achieved comprehensive international certifications including ISO 9001 quality management, ISO 14001 environmental management, and OHSAS 18001 occupational health and safety standards, demonstrating commitment to world-class operational performance.</w:t>
      </w:r>
    </w:p>
    <w:p w14:paraId="211F5208"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Technology partnerships with leading global engineering firms have ensured that Egyptian fertilizer facilities incorporate the most advanced commercially proven production processes available. These partnerships with companies including KBR, Uhde, </w:t>
      </w:r>
      <w:proofErr w:type="spellStart"/>
      <w:r w:rsidRPr="00A047B6">
        <w:rPr>
          <w:rFonts w:ascii="Calibri" w:hAnsi="Calibri" w:cs="Calibri"/>
          <w:sz w:val="20"/>
          <w:szCs w:val="20"/>
        </w:rPr>
        <w:t>Prayon</w:t>
      </w:r>
      <w:proofErr w:type="spellEnd"/>
      <w:r w:rsidRPr="00A047B6">
        <w:rPr>
          <w:rFonts w:ascii="Calibri" w:hAnsi="Calibri" w:cs="Calibri"/>
          <w:sz w:val="20"/>
          <w:szCs w:val="20"/>
        </w:rPr>
        <w:t xml:space="preserve"> Technologies, and K-Technologies provide access to cutting-edge process technology while supporting technology transfer and local capability development that enhances long-term competitiveness.</w:t>
      </w:r>
    </w:p>
    <w:p w14:paraId="499AC73C"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Advanced process control systems, emissions monitoring equipment, and energy optimization technology increasingly deployed across Egyptian fertilizer operations demonstrate the industry's commitment to continuous improvement and technological advancement. These investments improve production efficiency while reducing environmental impact and supporting compliance with increasingly stringent international environmental standards that influence global fertilizer trade.</w:t>
      </w:r>
    </w:p>
    <w:p w14:paraId="51DA29D4"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Research and development initiatives increasingly focus on product innovation, process optimization, and sustainability improvements that position Egyptian fertilizer companies at the forefront of industry development. Collaboration with international research institutions and technology providers ensures access to emerging technologies while developing local capabilities that support sustained innovation and competitive advantage development.</w:t>
      </w:r>
    </w:p>
    <w:p w14:paraId="39838C79" w14:textId="77777777" w:rsidR="00A047B6" w:rsidRPr="00A047B6" w:rsidRDefault="00A047B6" w:rsidP="00A047B6">
      <w:pPr>
        <w:rPr>
          <w:rFonts w:ascii="Calibri" w:hAnsi="Calibri" w:cs="Calibri"/>
          <w:b/>
          <w:bCs/>
          <w:sz w:val="28"/>
          <w:szCs w:val="28"/>
        </w:rPr>
      </w:pPr>
      <w:r w:rsidRPr="00A047B6">
        <w:rPr>
          <w:rFonts w:ascii="Calibri" w:hAnsi="Calibri" w:cs="Calibri"/>
          <w:b/>
          <w:bCs/>
          <w:sz w:val="28"/>
          <w:szCs w:val="28"/>
        </w:rPr>
        <w:t>Economic Impact and Export Revenue Generation</w:t>
      </w:r>
    </w:p>
    <w:p w14:paraId="06B0CB5D" w14:textId="77777777" w:rsidR="00A047B6" w:rsidRPr="00A047B6" w:rsidRDefault="00A047B6" w:rsidP="00A047B6">
      <w:pPr>
        <w:rPr>
          <w:rFonts w:ascii="Calibri" w:hAnsi="Calibri" w:cs="Calibri"/>
          <w:b/>
          <w:bCs/>
          <w:i/>
          <w:iCs/>
          <w:sz w:val="20"/>
          <w:szCs w:val="20"/>
        </w:rPr>
      </w:pPr>
      <w:r w:rsidRPr="00A047B6">
        <w:rPr>
          <w:rFonts w:ascii="Calibri" w:hAnsi="Calibri" w:cs="Calibri"/>
          <w:b/>
          <w:bCs/>
          <w:i/>
          <w:iCs/>
          <w:sz w:val="20"/>
          <w:szCs w:val="20"/>
        </w:rPr>
        <w:t>Contribution to National Export Performance</w:t>
      </w:r>
    </w:p>
    <w:p w14:paraId="47765440"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Egypt's fertilizer industry has emerged as a major contributor to national export performance and foreign exchange earnings, with 2023 fertilizer exports reaching USD 2.6 billion and representing 33% of the country's total chemicals sector exports. This substantial export performance reflects the industry's successful transformation from domestic-focused operations </w:t>
      </w:r>
      <w:proofErr w:type="gramStart"/>
      <w:r w:rsidRPr="00A047B6">
        <w:rPr>
          <w:rFonts w:ascii="Calibri" w:hAnsi="Calibri" w:cs="Calibri"/>
          <w:sz w:val="20"/>
          <w:szCs w:val="20"/>
        </w:rPr>
        <w:t>to globally</w:t>
      </w:r>
      <w:proofErr w:type="gramEnd"/>
      <w:r w:rsidRPr="00A047B6">
        <w:rPr>
          <w:rFonts w:ascii="Calibri" w:hAnsi="Calibri" w:cs="Calibri"/>
          <w:sz w:val="20"/>
          <w:szCs w:val="20"/>
        </w:rPr>
        <w:t xml:space="preserve"> competitive export platforms capable of serving sophisticated international markets across multiple continents.</w:t>
      </w:r>
    </w:p>
    <w:p w14:paraId="218AEE33" w14:textId="77777777" w:rsidR="00A047B6" w:rsidRPr="00A047B6" w:rsidRDefault="00A047B6" w:rsidP="00A047B6">
      <w:pPr>
        <w:rPr>
          <w:rFonts w:ascii="Calibri" w:hAnsi="Calibri" w:cs="Calibri"/>
          <w:sz w:val="20"/>
          <w:szCs w:val="20"/>
        </w:rPr>
      </w:pPr>
      <w:proofErr w:type="gramStart"/>
      <w:r w:rsidRPr="00A047B6">
        <w:rPr>
          <w:rFonts w:ascii="Calibri" w:hAnsi="Calibri" w:cs="Calibri"/>
          <w:sz w:val="20"/>
          <w:szCs w:val="20"/>
        </w:rPr>
        <w:t>The industry's</w:t>
      </w:r>
      <w:proofErr w:type="gramEnd"/>
      <w:r w:rsidRPr="00A047B6">
        <w:rPr>
          <w:rFonts w:ascii="Calibri" w:hAnsi="Calibri" w:cs="Calibri"/>
          <w:sz w:val="20"/>
          <w:szCs w:val="20"/>
        </w:rPr>
        <w:t xml:space="preserve"> export growth trajectory demonstrates remarkable consistency, with projections indicating potential achievement of USD 2.5-3.0 billion in fertilizer exports by the end of 2024. This growth reflects both capacity expansion and market development success that positions Egypt among the world's leading fertilizer exporters </w:t>
      </w:r>
      <w:r w:rsidRPr="00A047B6">
        <w:rPr>
          <w:rFonts w:ascii="Calibri" w:hAnsi="Calibri" w:cs="Calibri"/>
          <w:sz w:val="20"/>
          <w:szCs w:val="20"/>
        </w:rPr>
        <w:lastRenderedPageBreak/>
        <w:t>while contributing substantially to national balance of payments improvement and foreign exchange reserve accumulation.</w:t>
      </w:r>
    </w:p>
    <w:p w14:paraId="69E0D0EC"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The ambitious target of USD 10 billion in combined </w:t>
      </w:r>
      <w:proofErr w:type="gramStart"/>
      <w:r w:rsidRPr="00A047B6">
        <w:rPr>
          <w:rFonts w:ascii="Calibri" w:hAnsi="Calibri" w:cs="Calibri"/>
          <w:sz w:val="20"/>
          <w:szCs w:val="20"/>
        </w:rPr>
        <w:t>chemicals</w:t>
      </w:r>
      <w:proofErr w:type="gramEnd"/>
      <w:r w:rsidRPr="00A047B6">
        <w:rPr>
          <w:rFonts w:ascii="Calibri" w:hAnsi="Calibri" w:cs="Calibri"/>
          <w:sz w:val="20"/>
          <w:szCs w:val="20"/>
        </w:rPr>
        <w:t xml:space="preserve"> and fertilizers exports by 2025 reflects government confidence in the sector's continued expansion and market development capabilities. Achievement of this target would position the chemicals and fertilizers sector as one of Egypt's most significant export industries while demonstrating the success of strategic investments in value-added manufacturing development and international market penetration.</w:t>
      </w:r>
    </w:p>
    <w:p w14:paraId="70BBE8FD"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Export market diversification has contributed to the industry's sustained growth by reducing dependence on single markets while enabling optimization of production allocation based on seasonal demand patterns and pricing conditions across different regions. Egyptian fertilizer exports now reach 125 nations globally, demonstrating remarkable market breadth that provides resilience against regional economic fluctuations while supporting sustained revenue growth.</w:t>
      </w:r>
    </w:p>
    <w:p w14:paraId="73E62A64" w14:textId="77777777" w:rsidR="00A047B6" w:rsidRPr="00A047B6" w:rsidRDefault="00A047B6" w:rsidP="00A047B6">
      <w:pPr>
        <w:rPr>
          <w:rFonts w:ascii="Calibri" w:hAnsi="Calibri" w:cs="Calibri"/>
          <w:b/>
          <w:bCs/>
          <w:i/>
          <w:iCs/>
          <w:sz w:val="20"/>
          <w:szCs w:val="20"/>
        </w:rPr>
      </w:pPr>
      <w:r w:rsidRPr="00A047B6">
        <w:rPr>
          <w:rFonts w:ascii="Calibri" w:hAnsi="Calibri" w:cs="Calibri"/>
          <w:b/>
          <w:bCs/>
          <w:i/>
          <w:iCs/>
          <w:sz w:val="20"/>
          <w:szCs w:val="20"/>
        </w:rPr>
        <w:t>Regional Economic Development and Employment Generation</w:t>
      </w:r>
    </w:p>
    <w:p w14:paraId="5FF54187"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The fertilizer industry's expansion has created substantial employment opportunities across multiple skill levels and regional locations, contributing to broader economic development objectives while supporting local communities throughout Egypt. Direct employment in fertilizer production facilities includes thousands of high-skilled technical and engineering positions, management and administrative roles, and specialized operational positions that provide attractive career opportunities for Egyptian workers.</w:t>
      </w:r>
    </w:p>
    <w:p w14:paraId="5EDFB3FA"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Indirect economic impact extends far beyond direct employment to include supporting industries such as logistics, maintenance, construction, and professional services that benefit from fertilizer industry expansion. This multiplier effect creates additional employment opportunities while supporting broader industrial ecosystem development that enhances Egypt's overall manufacturing capabilities and competitiveness.</w:t>
      </w:r>
    </w:p>
    <w:p w14:paraId="47087927"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Regional development impact has been particularly significant in areas hosting major fertilizer facilities, including the Alexandria region around Abu Qir operations, the Ain Sokhna industrial zone hosting </w:t>
      </w:r>
      <w:proofErr w:type="spellStart"/>
      <w:r w:rsidRPr="00A047B6">
        <w:rPr>
          <w:rFonts w:ascii="Calibri" w:hAnsi="Calibri" w:cs="Calibri"/>
          <w:sz w:val="20"/>
          <w:szCs w:val="20"/>
        </w:rPr>
        <w:t>Fertiglobe</w:t>
      </w:r>
      <w:proofErr w:type="spellEnd"/>
      <w:r w:rsidRPr="00A047B6">
        <w:rPr>
          <w:rFonts w:ascii="Calibri" w:hAnsi="Calibri" w:cs="Calibri"/>
          <w:sz w:val="20"/>
          <w:szCs w:val="20"/>
        </w:rPr>
        <w:t xml:space="preserve"> facilities, and the Damietta area where MOPCO operates. These industrial concentrations have attracted complementary investments while supporting infrastructure development that benefits broader regional economies.</w:t>
      </w:r>
    </w:p>
    <w:p w14:paraId="2B1CA642"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The planned Abu </w:t>
      </w:r>
      <w:proofErr w:type="spellStart"/>
      <w:r w:rsidRPr="00A047B6">
        <w:rPr>
          <w:rFonts w:ascii="Calibri" w:hAnsi="Calibri" w:cs="Calibri"/>
          <w:sz w:val="20"/>
          <w:szCs w:val="20"/>
        </w:rPr>
        <w:t>Tartour</w:t>
      </w:r>
      <w:proofErr w:type="spellEnd"/>
      <w:r w:rsidRPr="00A047B6">
        <w:rPr>
          <w:rFonts w:ascii="Calibri" w:hAnsi="Calibri" w:cs="Calibri"/>
          <w:sz w:val="20"/>
          <w:szCs w:val="20"/>
        </w:rPr>
        <w:t xml:space="preserve"> development represents exceptional regional development opportunities for New Valley Governorate, which despite encompassing approximately half of Egypt's total land mass has historically faced economic development challenges. The major industrial investment will create direct employment while supporting service sector development and infrastructure improvements that will benefit the broader regional economy for decades to come.</w:t>
      </w:r>
    </w:p>
    <w:p w14:paraId="05230AB2" w14:textId="77777777" w:rsidR="00A047B6" w:rsidRPr="00A047B6" w:rsidRDefault="00A047B6" w:rsidP="00A047B6">
      <w:pPr>
        <w:rPr>
          <w:rFonts w:ascii="Calibri" w:hAnsi="Calibri" w:cs="Calibri"/>
          <w:b/>
          <w:bCs/>
          <w:i/>
          <w:iCs/>
          <w:sz w:val="20"/>
          <w:szCs w:val="20"/>
        </w:rPr>
      </w:pPr>
      <w:r w:rsidRPr="00A047B6">
        <w:rPr>
          <w:rFonts w:ascii="Calibri" w:hAnsi="Calibri" w:cs="Calibri"/>
          <w:b/>
          <w:bCs/>
          <w:i/>
          <w:iCs/>
          <w:sz w:val="20"/>
          <w:szCs w:val="20"/>
        </w:rPr>
        <w:t>Integration with National Development Strategy</w:t>
      </w:r>
    </w:p>
    <w:p w14:paraId="2C5E048A"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The fertilizer industry's expansion aligns closely with Egypt's broader national development strategy focusing on industrial diversification, export growth, and value-added manufacturing development. The sector's success demonstrates the potential for resource-rich countries to move up the value chain through strategic planning, international cooperation, and sustained investment in technology and infrastructure development.</w:t>
      </w:r>
    </w:p>
    <w:p w14:paraId="2DE0EC9D"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The industry's contribution to Egypt's goal of increasing total annual exports to USD 100 billion positions fertilizer development as a critical component of national economic strategy. The sector's demonstrated capability to compete effectively in global markets while generating substantial foreign exchange earnings provides a model for development of other industrial sectors with similar potential for export-oriented growth.</w:t>
      </w:r>
    </w:p>
    <w:p w14:paraId="28E20BA4"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lastRenderedPageBreak/>
        <w:t>Agricultural sector integration represents another important dimension of the fertilizer industry's national economic contribution. Domestic fertilizer production supports Egypt's ambitious agricultural expansion plans, including the target of reclaiming 3.5 million acres of agricultural land and increasing total agricultural area to 12.5 million acres. This agricultural expansion supports food security objectives while creating additional demand for domestically produced fertilizers.</w:t>
      </w:r>
    </w:p>
    <w:p w14:paraId="02E56CCC"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The mining sector development strategy targeting increased contribution to gross domestic </w:t>
      </w:r>
      <w:proofErr w:type="gramStart"/>
      <w:r w:rsidRPr="00A047B6">
        <w:rPr>
          <w:rFonts w:ascii="Calibri" w:hAnsi="Calibri" w:cs="Calibri"/>
          <w:sz w:val="20"/>
          <w:szCs w:val="20"/>
        </w:rPr>
        <w:t>product</w:t>
      </w:r>
      <w:proofErr w:type="gramEnd"/>
      <w:r w:rsidRPr="00A047B6">
        <w:rPr>
          <w:rFonts w:ascii="Calibri" w:hAnsi="Calibri" w:cs="Calibri"/>
          <w:sz w:val="20"/>
          <w:szCs w:val="20"/>
        </w:rPr>
        <w:t xml:space="preserve"> from less than 1% to 6% relies heavily on fertilizer industry success in demonstrating the viability of value-added mineral processing. The Abu </w:t>
      </w:r>
      <w:proofErr w:type="spellStart"/>
      <w:r w:rsidRPr="00A047B6">
        <w:rPr>
          <w:rFonts w:ascii="Calibri" w:hAnsi="Calibri" w:cs="Calibri"/>
          <w:sz w:val="20"/>
          <w:szCs w:val="20"/>
        </w:rPr>
        <w:t>Tartour</w:t>
      </w:r>
      <w:proofErr w:type="spellEnd"/>
      <w:r w:rsidRPr="00A047B6">
        <w:rPr>
          <w:rFonts w:ascii="Calibri" w:hAnsi="Calibri" w:cs="Calibri"/>
          <w:sz w:val="20"/>
          <w:szCs w:val="20"/>
        </w:rPr>
        <w:t xml:space="preserve"> phosphoric acid complex and other major projects provide concrete examples of successful value-added development that support broader mining sector transformation and economic contribution enhancement.</w:t>
      </w:r>
    </w:p>
    <w:p w14:paraId="368B75E6" w14:textId="77777777" w:rsidR="00A047B6" w:rsidRPr="00A047B6" w:rsidRDefault="00A047B6" w:rsidP="00A047B6">
      <w:pPr>
        <w:rPr>
          <w:rFonts w:ascii="Calibri" w:hAnsi="Calibri" w:cs="Calibri"/>
          <w:b/>
          <w:bCs/>
          <w:sz w:val="28"/>
          <w:szCs w:val="28"/>
        </w:rPr>
      </w:pPr>
      <w:r w:rsidRPr="00A047B6">
        <w:rPr>
          <w:rFonts w:ascii="Calibri" w:hAnsi="Calibri" w:cs="Calibri"/>
          <w:b/>
          <w:bCs/>
          <w:sz w:val="28"/>
          <w:szCs w:val="28"/>
        </w:rPr>
        <w:t>Risk Assessment and Strategic Outlook</w:t>
      </w:r>
    </w:p>
    <w:p w14:paraId="1F36BD58" w14:textId="77777777" w:rsidR="00A047B6" w:rsidRPr="00A047B6" w:rsidRDefault="00A047B6" w:rsidP="00A047B6">
      <w:pPr>
        <w:rPr>
          <w:rFonts w:ascii="Calibri" w:hAnsi="Calibri" w:cs="Calibri"/>
          <w:b/>
          <w:bCs/>
          <w:i/>
          <w:iCs/>
          <w:sz w:val="20"/>
          <w:szCs w:val="20"/>
        </w:rPr>
      </w:pPr>
      <w:r w:rsidRPr="00A047B6">
        <w:rPr>
          <w:rFonts w:ascii="Calibri" w:hAnsi="Calibri" w:cs="Calibri"/>
          <w:b/>
          <w:bCs/>
          <w:i/>
          <w:iCs/>
          <w:sz w:val="20"/>
          <w:szCs w:val="20"/>
        </w:rPr>
        <w:t>Operational and Market Risk Management</w:t>
      </w:r>
    </w:p>
    <w:p w14:paraId="120A99B6"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Egypt's fertilizer industry faces various operational and market risks that require sophisticated management strategies to ensure sustained growth and competitive performance. Natural gas supply consistency represents a critical operational risk given the sector's dependence on reliable, competitively priced feedstock for nitrogen fertilizer production. The industry has successfully addressed periodic supply disruptions through diversification strategies including direct international gas imports and strategic inventory management.</w:t>
      </w:r>
    </w:p>
    <w:p w14:paraId="3BB78C32"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Global fertilizer market volatility creates pricing and demand risks that affect revenue generation and investment planning across the industry. Egyptian producers have developed flexible production and marketing strategies that enable rapid adjustment to changing market conditions while maintaining competitive positioning. Product diversification across nitrogen and phosphate fertilizers provides portfolio stability, while geographic market diversification reduces exposure to regional economic fluctuations.</w:t>
      </w:r>
    </w:p>
    <w:p w14:paraId="0B8A3308"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Transportation and logistics risks associated with global export operations require continuous attention to supply chain reliability and cost optimization. Egyptian fertilizer companies have invested substantially in export infrastructure development while building relationships with reliable logistics partners that ensure consistent product delivery to international customers. The strategic development of multiple export routes and port facilities provides operational flexibility and risk mitigation.</w:t>
      </w:r>
    </w:p>
    <w:p w14:paraId="4FD47DB7"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Technology obsolescence and competitive pressures from emerging global suppliers require continuous investment in operational efficiency improvements and technological advancement. Egyptian fertilizer companies have demonstrated commitment to staying current with global technology developments through partnerships with leading international engineering firms and systematic facility modernization programs that maintain competitive positioning.</w:t>
      </w:r>
    </w:p>
    <w:p w14:paraId="25E7BE15" w14:textId="77777777" w:rsidR="00A047B6" w:rsidRPr="00A047B6" w:rsidRDefault="00A047B6" w:rsidP="00A047B6">
      <w:pPr>
        <w:rPr>
          <w:rFonts w:ascii="Calibri" w:hAnsi="Calibri" w:cs="Calibri"/>
          <w:b/>
          <w:bCs/>
          <w:i/>
          <w:iCs/>
          <w:sz w:val="20"/>
          <w:szCs w:val="20"/>
        </w:rPr>
      </w:pPr>
      <w:r w:rsidRPr="00A047B6">
        <w:rPr>
          <w:rFonts w:ascii="Calibri" w:hAnsi="Calibri" w:cs="Calibri"/>
          <w:b/>
          <w:bCs/>
          <w:i/>
          <w:iCs/>
          <w:sz w:val="20"/>
          <w:szCs w:val="20"/>
        </w:rPr>
        <w:t>Strategic Positioning for Future Growth</w:t>
      </w:r>
    </w:p>
    <w:p w14:paraId="4673F4FC"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Egypt's fertilizer industry is exceptionally well positioned to capitalize on growing global fertilizer demand driven by population growth, agricultural intensification, and food security requirements across emerging markets. The industry's combination of abundant resources, strategic location, competitive cost structure, and operational excellence provides sustainable competitive advantages that support continued market share growth and revenue expansion.</w:t>
      </w:r>
    </w:p>
    <w:p w14:paraId="698A3AB7"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lastRenderedPageBreak/>
        <w:t xml:space="preserve">The transition toward sustainable and environmentally responsible fertilizer production creates opportunities for Egyptian companies that have invested in clean technology development and renewable energy integration. </w:t>
      </w:r>
      <w:proofErr w:type="spellStart"/>
      <w:r w:rsidRPr="00A047B6">
        <w:rPr>
          <w:rFonts w:ascii="Calibri" w:hAnsi="Calibri" w:cs="Calibri"/>
          <w:sz w:val="20"/>
          <w:szCs w:val="20"/>
        </w:rPr>
        <w:t>Fertiglobe's</w:t>
      </w:r>
      <w:proofErr w:type="spellEnd"/>
      <w:r w:rsidRPr="00A047B6">
        <w:rPr>
          <w:rFonts w:ascii="Calibri" w:hAnsi="Calibri" w:cs="Calibri"/>
          <w:sz w:val="20"/>
          <w:szCs w:val="20"/>
        </w:rPr>
        <w:t xml:space="preserve"> renewable ammonia development and the planned renewable energy integration at Abu </w:t>
      </w:r>
      <w:proofErr w:type="spellStart"/>
      <w:r w:rsidRPr="00A047B6">
        <w:rPr>
          <w:rFonts w:ascii="Calibri" w:hAnsi="Calibri" w:cs="Calibri"/>
          <w:sz w:val="20"/>
          <w:szCs w:val="20"/>
        </w:rPr>
        <w:t>Tartour</w:t>
      </w:r>
      <w:proofErr w:type="spellEnd"/>
      <w:r w:rsidRPr="00A047B6">
        <w:rPr>
          <w:rFonts w:ascii="Calibri" w:hAnsi="Calibri" w:cs="Calibri"/>
          <w:sz w:val="20"/>
          <w:szCs w:val="20"/>
        </w:rPr>
        <w:t xml:space="preserve"> demonstrate Egyptian industry leadership in sustainability initiatives that align with global market trends and regulatory requirements.</w:t>
      </w:r>
    </w:p>
    <w:p w14:paraId="76FB7025"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Emerging market development, particularly across Africa and Asia, provides substantial growth opportunities that align well with Egypt's geographic positioning and market development capabilities. The country's established relationships throughout Africa combined with growing Asian market interest create multiple pathways for export expansion that complement existing European and American market success.</w:t>
      </w:r>
    </w:p>
    <w:p w14:paraId="270A2A56"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Value-added product development and market differentiation provide additional growth opportunities for Egyptian fertilizer companies willing to invest in specialized products and customer service capabilities. Premium fertilizer markets increasingly demand customized solutions, technical support, and sustainability certifications that align with Egyptian companies' operational capabilities and market positioning strategies.</w:t>
      </w:r>
    </w:p>
    <w:p w14:paraId="4C06F87D" w14:textId="77777777" w:rsidR="00A047B6" w:rsidRPr="00A047B6" w:rsidRDefault="00A047B6" w:rsidP="00A047B6">
      <w:pPr>
        <w:rPr>
          <w:rFonts w:ascii="Calibri" w:hAnsi="Calibri" w:cs="Calibri"/>
          <w:b/>
          <w:bCs/>
          <w:sz w:val="28"/>
          <w:szCs w:val="28"/>
        </w:rPr>
      </w:pPr>
      <w:r w:rsidRPr="00A047B6">
        <w:rPr>
          <w:rFonts w:ascii="Calibri" w:hAnsi="Calibri" w:cs="Calibri"/>
          <w:b/>
          <w:bCs/>
          <w:sz w:val="28"/>
          <w:szCs w:val="28"/>
        </w:rPr>
        <w:t>Conclusions and Long-Term Outlook</w:t>
      </w:r>
    </w:p>
    <w:p w14:paraId="4277A5AE" w14:textId="77777777" w:rsidR="00A047B6" w:rsidRPr="00A047B6" w:rsidRDefault="00A047B6" w:rsidP="00A047B6">
      <w:pPr>
        <w:rPr>
          <w:rFonts w:ascii="Calibri" w:hAnsi="Calibri" w:cs="Calibri"/>
          <w:b/>
          <w:bCs/>
          <w:i/>
          <w:iCs/>
          <w:sz w:val="20"/>
          <w:szCs w:val="20"/>
        </w:rPr>
      </w:pPr>
      <w:r w:rsidRPr="00A047B6">
        <w:rPr>
          <w:rFonts w:ascii="Calibri" w:hAnsi="Calibri" w:cs="Calibri"/>
          <w:b/>
          <w:bCs/>
          <w:i/>
          <w:iCs/>
          <w:sz w:val="20"/>
          <w:szCs w:val="20"/>
        </w:rPr>
        <w:t>Industry Transformation and Global Leadership</w:t>
      </w:r>
    </w:p>
    <w:p w14:paraId="031BEEFD"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Egypt's fertilizer industry represents one of the most successful examples of resource-based industrial development and export diversification in the modern global economy. The sector's transformation from modest domestic supplier to world-leading exporter demonstrates the potential for strategic planning, international cooperation, and sustained investment to create globally competitive industrial capabilities that generate substantial economic benefits while serving critical global needs.</w:t>
      </w:r>
    </w:p>
    <w:p w14:paraId="61AC0D2A"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The industry's achievements rest on exceptional resource endowments including world-class phosphate reserves and substantial natural gas resources, combined with strategic geographic positioning that provides unparalleled market access advantages. These natural advantages have been successfully leveraged through progressive government policies, international partnerships, and private sector investment that have created world-class production capabilities and operational excellence.</w:t>
      </w:r>
    </w:p>
    <w:p w14:paraId="2081F960"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The successful integration of Egyptian resources with global technology, capital, and market access capabilities provides a model for sustainable industrial development that creates lasting competitive advantages. Major international partnerships with companies including OCI/ADNOC, Indorama, and Chinese investors demonstrate Egypt's ability to attract world-class partners while maintaining strategic control over key resources and operations.</w:t>
      </w:r>
    </w:p>
    <w:p w14:paraId="35489EAF" w14:textId="77777777" w:rsidR="00A047B6" w:rsidRPr="00A047B6" w:rsidRDefault="00A047B6" w:rsidP="00A047B6">
      <w:pPr>
        <w:rPr>
          <w:rFonts w:ascii="Calibri" w:hAnsi="Calibri" w:cs="Calibri"/>
          <w:b/>
          <w:bCs/>
          <w:i/>
          <w:iCs/>
          <w:sz w:val="20"/>
          <w:szCs w:val="20"/>
        </w:rPr>
      </w:pPr>
      <w:r w:rsidRPr="00A047B6">
        <w:rPr>
          <w:rFonts w:ascii="Calibri" w:hAnsi="Calibri" w:cs="Calibri"/>
          <w:b/>
          <w:bCs/>
          <w:i/>
          <w:iCs/>
          <w:sz w:val="20"/>
          <w:szCs w:val="20"/>
        </w:rPr>
        <w:t>Future Growth Trajectory and Market Development</w:t>
      </w:r>
    </w:p>
    <w:p w14:paraId="3DFC6C00"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The outlook for Egypt's fertilizer industry remains exceptionally positive based on multiple indicators including substantial confirmed investment projects, expanding global market presence, and demonstrated operational excellence across world-class production facilities. Major expansion projects totaling over USD 3 billion in confirmed investment position Egypt to potentially reach 25-30 million tons annual production capacity by 2030, representing remarkable growth from current levels.</w:t>
      </w:r>
    </w:p>
    <w:p w14:paraId="17C82055"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The Abu </w:t>
      </w:r>
      <w:proofErr w:type="spellStart"/>
      <w:r w:rsidRPr="00A047B6">
        <w:rPr>
          <w:rFonts w:ascii="Calibri" w:hAnsi="Calibri" w:cs="Calibri"/>
          <w:sz w:val="20"/>
          <w:szCs w:val="20"/>
        </w:rPr>
        <w:t>Tartour</w:t>
      </w:r>
      <w:proofErr w:type="spellEnd"/>
      <w:r w:rsidRPr="00A047B6">
        <w:rPr>
          <w:rFonts w:ascii="Calibri" w:hAnsi="Calibri" w:cs="Calibri"/>
          <w:sz w:val="20"/>
          <w:szCs w:val="20"/>
        </w:rPr>
        <w:t xml:space="preserve"> phosphoric acid complex development represents the most significant single project in Egyptian fertilizer industry history, with potential to transform the country's position in global phosphate fertilizer markets while demonstrating successful value-added development of mineral resources. This USD 1.2 billion investment </w:t>
      </w:r>
      <w:r w:rsidRPr="00A047B6">
        <w:rPr>
          <w:rFonts w:ascii="Calibri" w:hAnsi="Calibri" w:cs="Calibri"/>
          <w:sz w:val="20"/>
          <w:szCs w:val="20"/>
        </w:rPr>
        <w:lastRenderedPageBreak/>
        <w:t>provides a foundation for sustained phosphate fertilizer export growth while supporting broader industrial development in previously underutilized regions.</w:t>
      </w:r>
    </w:p>
    <w:p w14:paraId="738D18AB"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International market development success, particularly the achievement of third-largest supplier status in European markets and growing presence in American, African, and Asian markets, demonstrates Egyptian industry capability to compete effectively in the world's most sophisticated and demanding fertilizer markets. This global market presence provides diversification benefits while supporting sustained revenue growth across varying regional economic conditions.</w:t>
      </w:r>
    </w:p>
    <w:p w14:paraId="06F85661"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Technology leadership development through clean ammonia production, renewable energy integration, and advanced process technology adoption positions Egyptian fertilizer companies at the forefront of global industry trends toward sustainable and environmentally responsible production. These capabilities provide competitive advantages in markets that increasingly prioritize environmental performance while potentially enabling access to premium pricing and carbon credit opportunities.</w:t>
      </w:r>
    </w:p>
    <w:p w14:paraId="00167D44" w14:textId="77777777" w:rsidR="00A047B6" w:rsidRPr="00A047B6" w:rsidRDefault="00A047B6" w:rsidP="00A047B6">
      <w:pPr>
        <w:rPr>
          <w:rFonts w:ascii="Calibri" w:hAnsi="Calibri" w:cs="Calibri"/>
          <w:b/>
          <w:bCs/>
          <w:i/>
          <w:iCs/>
          <w:sz w:val="20"/>
          <w:szCs w:val="20"/>
        </w:rPr>
      </w:pPr>
      <w:r w:rsidRPr="00A047B6">
        <w:rPr>
          <w:rFonts w:ascii="Calibri" w:hAnsi="Calibri" w:cs="Calibri"/>
          <w:b/>
          <w:bCs/>
          <w:i/>
          <w:iCs/>
          <w:sz w:val="20"/>
          <w:szCs w:val="20"/>
        </w:rPr>
        <w:t>Strategic Imperatives for Continued Success</w:t>
      </w:r>
    </w:p>
    <w:p w14:paraId="79D04BC1"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Sustained success for Egypt's fertilizer industry requires continued focus on several critical strategic imperatives that will determine the sector's ability to maintain competitive advantages while capturing growing global opportunities. Operational excellence through world-class safety, environmental, and quality performance provides the foundation for sustained customer confidence and market access while supporting premium positioning in sophisticated global markets.</w:t>
      </w:r>
    </w:p>
    <w:p w14:paraId="46F711D7"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Innovation leadership through continued investment in research and development, particularly sustainable production technologies and specialty product development, ensures continued competitive differentiation while enabling access to emerging market opportunities. The industry's demonstrated success in attracting international technology partnerships provides a platform for continued innovation development and technology leadership advancement.</w:t>
      </w:r>
    </w:p>
    <w:p w14:paraId="0F744DC9"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 xml:space="preserve">Market development expansion through geographic diversification and customer relationship deepening provides pathways for sustained revenue growth while reducing concentration risks associated with dependence on </w:t>
      </w:r>
      <w:proofErr w:type="gramStart"/>
      <w:r w:rsidRPr="00A047B6">
        <w:rPr>
          <w:rFonts w:ascii="Calibri" w:hAnsi="Calibri" w:cs="Calibri"/>
          <w:sz w:val="20"/>
          <w:szCs w:val="20"/>
        </w:rPr>
        <w:t>particular markets</w:t>
      </w:r>
      <w:proofErr w:type="gramEnd"/>
      <w:r w:rsidRPr="00A047B6">
        <w:rPr>
          <w:rFonts w:ascii="Calibri" w:hAnsi="Calibri" w:cs="Calibri"/>
          <w:sz w:val="20"/>
          <w:szCs w:val="20"/>
        </w:rPr>
        <w:t xml:space="preserve"> or customer segments. The industry's proven success in developing relationships with international trading companies, agricultural cooperatives, and end-users provides multiple channels for continued market expansion.</w:t>
      </w:r>
    </w:p>
    <w:p w14:paraId="7BD8C1FA"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t>Talent development and local capability building ensure sustained competitive advantage through development of Egyptian expertise in advanced chemical engineering, process optimization, international marketing, and business development. The industry's continued success requires ongoing investment in education and training programs that develop local capabilities while attracting international expertise and best practices.</w:t>
      </w:r>
    </w:p>
    <w:p w14:paraId="494E1AA9" w14:textId="5461AAEC" w:rsidR="0096209C" w:rsidRPr="00A047B6" w:rsidRDefault="00A047B6" w:rsidP="00A047B6">
      <w:pPr>
        <w:rPr>
          <w:rFonts w:ascii="Calibri" w:hAnsi="Calibri" w:cs="Calibri"/>
          <w:sz w:val="20"/>
          <w:szCs w:val="20"/>
        </w:rPr>
      </w:pPr>
      <w:r w:rsidRPr="00A047B6">
        <w:rPr>
          <w:rFonts w:ascii="Calibri" w:hAnsi="Calibri" w:cs="Calibri"/>
          <w:sz w:val="20"/>
          <w:szCs w:val="20"/>
        </w:rPr>
        <w:t>The Egyptian fertilizer industry's remarkable transformation from domestic-focused operations to global export leadership demonstrates the potential for resource-rich developing countries to achieve sustained industrial success through strategic planning, international cooperation, and commitment to operational excellence. As global population growth and food security challenges intensify, Egypt's expanding fertilizer production capabilities position the country to play an increasingly vital role in global agricultural sustainability while generating substantial economic benefits for Egyptian society and continued contributions to national development objectives.</w:t>
      </w:r>
    </w:p>
    <w:p w14:paraId="3B1B8E8D" w14:textId="77777777" w:rsidR="00A047B6" w:rsidRPr="00A047B6" w:rsidRDefault="00A047B6" w:rsidP="00A047B6">
      <w:pPr>
        <w:rPr>
          <w:rFonts w:ascii="Calibri" w:hAnsi="Calibri" w:cs="Calibri"/>
          <w:sz w:val="20"/>
          <w:szCs w:val="20"/>
        </w:rPr>
      </w:pPr>
      <w:r w:rsidRPr="00A047B6">
        <w:rPr>
          <w:rFonts w:ascii="Calibri" w:hAnsi="Calibri" w:cs="Calibri"/>
          <w:sz w:val="20"/>
          <w:szCs w:val="20"/>
        </w:rPr>
        <w:pict w14:anchorId="62832B81">
          <v:rect id="_x0000_i1037" style="width:0;height:1.5pt" o:hralign="center" o:hrstd="t" o:hr="t" fillcolor="#a0a0a0" stroked="f"/>
        </w:pict>
      </w:r>
    </w:p>
    <w:p w14:paraId="2B388334"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lastRenderedPageBreak/>
        <w:t>Annex: Sources and Citations</w:t>
      </w:r>
    </w:p>
    <w:p w14:paraId="320E1C69"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Primary Government and Industry Sources</w:t>
      </w:r>
    </w:p>
    <w:p w14:paraId="6264BCA9"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Ministry of Petroleum and Mineral Resources, Egypt</w:t>
      </w:r>
    </w:p>
    <w:p w14:paraId="4DA69B66" w14:textId="77777777" w:rsidR="00A047B6" w:rsidRPr="00A047B6" w:rsidRDefault="00A047B6" w:rsidP="00A047B6">
      <w:pPr>
        <w:numPr>
          <w:ilvl w:val="0"/>
          <w:numId w:val="1"/>
        </w:numPr>
        <w:rPr>
          <w:rFonts w:ascii="Calibri" w:hAnsi="Calibri" w:cs="Calibri"/>
          <w:sz w:val="16"/>
          <w:szCs w:val="16"/>
        </w:rPr>
      </w:pPr>
      <w:r w:rsidRPr="00A047B6">
        <w:rPr>
          <w:rFonts w:ascii="Calibri" w:hAnsi="Calibri" w:cs="Calibri"/>
          <w:sz w:val="16"/>
          <w:szCs w:val="16"/>
        </w:rPr>
        <w:t>Official project announcements and investment data</w:t>
      </w:r>
    </w:p>
    <w:p w14:paraId="0BA48980" w14:textId="77777777" w:rsidR="00A047B6" w:rsidRPr="00A047B6" w:rsidRDefault="00A047B6" w:rsidP="00A047B6">
      <w:pPr>
        <w:numPr>
          <w:ilvl w:val="0"/>
          <w:numId w:val="1"/>
        </w:numPr>
        <w:rPr>
          <w:rFonts w:ascii="Calibri" w:hAnsi="Calibri" w:cs="Calibri"/>
          <w:sz w:val="16"/>
          <w:szCs w:val="16"/>
        </w:rPr>
      </w:pPr>
      <w:r w:rsidRPr="00A047B6">
        <w:rPr>
          <w:rFonts w:ascii="Calibri" w:hAnsi="Calibri" w:cs="Calibri"/>
          <w:sz w:val="16"/>
          <w:szCs w:val="16"/>
        </w:rPr>
        <w:t xml:space="preserve">Abu </w:t>
      </w:r>
      <w:proofErr w:type="spellStart"/>
      <w:r w:rsidRPr="00A047B6">
        <w:rPr>
          <w:rFonts w:ascii="Calibri" w:hAnsi="Calibri" w:cs="Calibri"/>
          <w:sz w:val="16"/>
          <w:szCs w:val="16"/>
        </w:rPr>
        <w:t>Tartur</w:t>
      </w:r>
      <w:proofErr w:type="spellEnd"/>
      <w:r w:rsidRPr="00A047B6">
        <w:rPr>
          <w:rFonts w:ascii="Calibri" w:hAnsi="Calibri" w:cs="Calibri"/>
          <w:sz w:val="16"/>
          <w:szCs w:val="16"/>
        </w:rPr>
        <w:t xml:space="preserve"> phosphoric acid complex development updates</w:t>
      </w:r>
    </w:p>
    <w:p w14:paraId="423BA720" w14:textId="77777777" w:rsidR="00A047B6" w:rsidRPr="00A047B6" w:rsidRDefault="00A047B6" w:rsidP="00A047B6">
      <w:pPr>
        <w:numPr>
          <w:ilvl w:val="0"/>
          <w:numId w:val="1"/>
        </w:numPr>
        <w:rPr>
          <w:rFonts w:ascii="Calibri" w:hAnsi="Calibri" w:cs="Calibri"/>
          <w:sz w:val="16"/>
          <w:szCs w:val="16"/>
        </w:rPr>
      </w:pPr>
      <w:r w:rsidRPr="00A047B6">
        <w:rPr>
          <w:rFonts w:ascii="Calibri" w:hAnsi="Calibri" w:cs="Calibri"/>
          <w:sz w:val="16"/>
          <w:szCs w:val="16"/>
        </w:rPr>
        <w:t>Production statistics and capacity data</w:t>
      </w:r>
    </w:p>
    <w:p w14:paraId="0587563D" w14:textId="77777777" w:rsidR="00A047B6" w:rsidRPr="00A047B6" w:rsidRDefault="00A047B6" w:rsidP="00A047B6">
      <w:pPr>
        <w:numPr>
          <w:ilvl w:val="0"/>
          <w:numId w:val="1"/>
        </w:numPr>
        <w:rPr>
          <w:rFonts w:ascii="Calibri" w:hAnsi="Calibri" w:cs="Calibri"/>
          <w:sz w:val="16"/>
          <w:szCs w:val="16"/>
        </w:rPr>
      </w:pPr>
      <w:r w:rsidRPr="00A047B6">
        <w:rPr>
          <w:rFonts w:ascii="Calibri" w:hAnsi="Calibri" w:cs="Calibri"/>
          <w:sz w:val="16"/>
          <w:szCs w:val="16"/>
        </w:rPr>
        <w:t>Available at: https://www.petroleum.gov.eg/</w:t>
      </w:r>
    </w:p>
    <w:p w14:paraId="34040CF2"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U.S. Geological Survey Minerals Yearbook - Egypt 2016</w:t>
      </w:r>
    </w:p>
    <w:p w14:paraId="1A716EE4" w14:textId="77777777" w:rsidR="00A047B6" w:rsidRPr="00A047B6" w:rsidRDefault="00A047B6" w:rsidP="00A047B6">
      <w:pPr>
        <w:numPr>
          <w:ilvl w:val="0"/>
          <w:numId w:val="2"/>
        </w:numPr>
        <w:rPr>
          <w:rFonts w:ascii="Calibri" w:hAnsi="Calibri" w:cs="Calibri"/>
          <w:sz w:val="16"/>
          <w:szCs w:val="16"/>
        </w:rPr>
      </w:pPr>
      <w:r w:rsidRPr="00A047B6">
        <w:rPr>
          <w:rFonts w:ascii="Calibri" w:hAnsi="Calibri" w:cs="Calibri"/>
          <w:sz w:val="16"/>
          <w:szCs w:val="16"/>
        </w:rPr>
        <w:t>Comprehensive mineral industry structure and production data</w:t>
      </w:r>
    </w:p>
    <w:p w14:paraId="0CB7E58A" w14:textId="77777777" w:rsidR="00A047B6" w:rsidRPr="00A047B6" w:rsidRDefault="00A047B6" w:rsidP="00A047B6">
      <w:pPr>
        <w:numPr>
          <w:ilvl w:val="0"/>
          <w:numId w:val="2"/>
        </w:numPr>
        <w:rPr>
          <w:rFonts w:ascii="Calibri" w:hAnsi="Calibri" w:cs="Calibri"/>
          <w:sz w:val="16"/>
          <w:szCs w:val="16"/>
        </w:rPr>
      </w:pPr>
      <w:r w:rsidRPr="00A047B6">
        <w:rPr>
          <w:rFonts w:ascii="Calibri" w:hAnsi="Calibri" w:cs="Calibri"/>
          <w:sz w:val="16"/>
          <w:szCs w:val="16"/>
        </w:rPr>
        <w:t>Historical production statistics and company ownership details</w:t>
      </w:r>
    </w:p>
    <w:p w14:paraId="05EDA844" w14:textId="77777777" w:rsidR="00A047B6" w:rsidRPr="00A047B6" w:rsidRDefault="00A047B6" w:rsidP="00A047B6">
      <w:pPr>
        <w:numPr>
          <w:ilvl w:val="0"/>
          <w:numId w:val="2"/>
        </w:numPr>
        <w:rPr>
          <w:rFonts w:ascii="Calibri" w:hAnsi="Calibri" w:cs="Calibri"/>
          <w:sz w:val="16"/>
          <w:szCs w:val="16"/>
        </w:rPr>
      </w:pPr>
      <w:r w:rsidRPr="00A047B6">
        <w:rPr>
          <w:rFonts w:ascii="Calibri" w:hAnsi="Calibri" w:cs="Calibri"/>
          <w:sz w:val="16"/>
          <w:szCs w:val="16"/>
        </w:rPr>
        <w:t>Export and import trade data</w:t>
      </w:r>
    </w:p>
    <w:p w14:paraId="095CF6F9" w14:textId="77777777" w:rsidR="00A047B6" w:rsidRPr="00A047B6" w:rsidRDefault="00A047B6" w:rsidP="00A047B6">
      <w:pPr>
        <w:numPr>
          <w:ilvl w:val="0"/>
          <w:numId w:val="2"/>
        </w:numPr>
        <w:rPr>
          <w:rFonts w:ascii="Calibri" w:hAnsi="Calibri" w:cs="Calibri"/>
          <w:sz w:val="16"/>
          <w:szCs w:val="16"/>
        </w:rPr>
      </w:pPr>
      <w:r w:rsidRPr="00A047B6">
        <w:rPr>
          <w:rFonts w:ascii="Calibri" w:hAnsi="Calibri" w:cs="Calibri"/>
          <w:sz w:val="16"/>
          <w:szCs w:val="16"/>
        </w:rPr>
        <w:t>Available at: https://pubs.usgs.gov/myb/vol3/2016/myb3-2016-egypt.pdf</w:t>
      </w:r>
    </w:p>
    <w:p w14:paraId="4E7B5FC2"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Central Agency for Public Mobilization and Statistics, Egypt</w:t>
      </w:r>
    </w:p>
    <w:p w14:paraId="6E15833E" w14:textId="77777777" w:rsidR="00A047B6" w:rsidRPr="00A047B6" w:rsidRDefault="00A047B6" w:rsidP="00A047B6">
      <w:pPr>
        <w:numPr>
          <w:ilvl w:val="0"/>
          <w:numId w:val="3"/>
        </w:numPr>
        <w:rPr>
          <w:rFonts w:ascii="Calibri" w:hAnsi="Calibri" w:cs="Calibri"/>
          <w:sz w:val="16"/>
          <w:szCs w:val="16"/>
        </w:rPr>
      </w:pPr>
      <w:r w:rsidRPr="00A047B6">
        <w:rPr>
          <w:rFonts w:ascii="Calibri" w:hAnsi="Calibri" w:cs="Calibri"/>
          <w:sz w:val="16"/>
          <w:szCs w:val="16"/>
        </w:rPr>
        <w:t>Economic sector contribution data</w:t>
      </w:r>
    </w:p>
    <w:p w14:paraId="4A58E5B2" w14:textId="77777777" w:rsidR="00A047B6" w:rsidRPr="00A047B6" w:rsidRDefault="00A047B6" w:rsidP="00A047B6">
      <w:pPr>
        <w:numPr>
          <w:ilvl w:val="0"/>
          <w:numId w:val="3"/>
        </w:numPr>
        <w:rPr>
          <w:rFonts w:ascii="Calibri" w:hAnsi="Calibri" w:cs="Calibri"/>
          <w:sz w:val="16"/>
          <w:szCs w:val="16"/>
        </w:rPr>
      </w:pPr>
      <w:r w:rsidRPr="00A047B6">
        <w:rPr>
          <w:rFonts w:ascii="Calibri" w:hAnsi="Calibri" w:cs="Calibri"/>
          <w:sz w:val="16"/>
          <w:szCs w:val="16"/>
        </w:rPr>
        <w:t>Industrial production statistics</w:t>
      </w:r>
    </w:p>
    <w:p w14:paraId="4F70C763" w14:textId="77777777" w:rsidR="00A047B6" w:rsidRPr="00A047B6" w:rsidRDefault="00A047B6" w:rsidP="00A047B6">
      <w:pPr>
        <w:numPr>
          <w:ilvl w:val="0"/>
          <w:numId w:val="3"/>
        </w:numPr>
        <w:rPr>
          <w:rFonts w:ascii="Calibri" w:hAnsi="Calibri" w:cs="Calibri"/>
          <w:sz w:val="16"/>
          <w:szCs w:val="16"/>
        </w:rPr>
      </w:pPr>
      <w:r w:rsidRPr="00A047B6">
        <w:rPr>
          <w:rFonts w:ascii="Calibri" w:hAnsi="Calibri" w:cs="Calibri"/>
          <w:sz w:val="16"/>
          <w:szCs w:val="16"/>
        </w:rPr>
        <w:t>GDP and manufacturing sector data</w:t>
      </w:r>
    </w:p>
    <w:p w14:paraId="349E061E"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Egyptian Mineral Resources Authority (EMRA)</w:t>
      </w:r>
    </w:p>
    <w:p w14:paraId="2D5D8EFB" w14:textId="77777777" w:rsidR="00A047B6" w:rsidRPr="00A047B6" w:rsidRDefault="00A047B6" w:rsidP="00A047B6">
      <w:pPr>
        <w:numPr>
          <w:ilvl w:val="0"/>
          <w:numId w:val="4"/>
        </w:numPr>
        <w:rPr>
          <w:rFonts w:ascii="Calibri" w:hAnsi="Calibri" w:cs="Calibri"/>
          <w:sz w:val="16"/>
          <w:szCs w:val="16"/>
        </w:rPr>
      </w:pPr>
      <w:r w:rsidRPr="00A047B6">
        <w:rPr>
          <w:rFonts w:ascii="Calibri" w:hAnsi="Calibri" w:cs="Calibri"/>
          <w:sz w:val="16"/>
          <w:szCs w:val="16"/>
        </w:rPr>
        <w:t>Mining law and regulatory framework</w:t>
      </w:r>
    </w:p>
    <w:p w14:paraId="7943041A" w14:textId="77777777" w:rsidR="00A047B6" w:rsidRPr="00A047B6" w:rsidRDefault="00A047B6" w:rsidP="00A047B6">
      <w:pPr>
        <w:numPr>
          <w:ilvl w:val="0"/>
          <w:numId w:val="4"/>
        </w:numPr>
        <w:rPr>
          <w:rFonts w:ascii="Calibri" w:hAnsi="Calibri" w:cs="Calibri"/>
          <w:sz w:val="16"/>
          <w:szCs w:val="16"/>
        </w:rPr>
      </w:pPr>
      <w:r w:rsidRPr="00A047B6">
        <w:rPr>
          <w:rFonts w:ascii="Calibri" w:hAnsi="Calibri" w:cs="Calibri"/>
          <w:sz w:val="16"/>
          <w:szCs w:val="16"/>
        </w:rPr>
        <w:t>Investment opportunities and licensing information</w:t>
      </w:r>
    </w:p>
    <w:p w14:paraId="1B01603E" w14:textId="77777777" w:rsidR="00A047B6" w:rsidRPr="00A047B6" w:rsidRDefault="00A047B6" w:rsidP="00A047B6">
      <w:pPr>
        <w:numPr>
          <w:ilvl w:val="0"/>
          <w:numId w:val="4"/>
        </w:numPr>
        <w:rPr>
          <w:rFonts w:ascii="Calibri" w:hAnsi="Calibri" w:cs="Calibri"/>
          <w:sz w:val="16"/>
          <w:szCs w:val="16"/>
        </w:rPr>
      </w:pPr>
      <w:r w:rsidRPr="00A047B6">
        <w:rPr>
          <w:rFonts w:ascii="Calibri" w:hAnsi="Calibri" w:cs="Calibri"/>
          <w:sz w:val="16"/>
          <w:szCs w:val="16"/>
        </w:rPr>
        <w:t>Geological and resource data</w:t>
      </w:r>
    </w:p>
    <w:p w14:paraId="1ED5FBAC"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Corporate and Financial Sources</w:t>
      </w:r>
    </w:p>
    <w:p w14:paraId="1224C476"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OCI N.V. Annual Reports and Press Releases</w:t>
      </w:r>
    </w:p>
    <w:p w14:paraId="2791A794" w14:textId="77777777" w:rsidR="00A047B6" w:rsidRPr="00A047B6" w:rsidRDefault="00A047B6" w:rsidP="00A047B6">
      <w:pPr>
        <w:numPr>
          <w:ilvl w:val="0"/>
          <w:numId w:val="5"/>
        </w:numPr>
        <w:rPr>
          <w:rFonts w:ascii="Calibri" w:hAnsi="Calibri" w:cs="Calibri"/>
          <w:sz w:val="16"/>
          <w:szCs w:val="16"/>
        </w:rPr>
      </w:pPr>
      <w:r w:rsidRPr="00A047B6">
        <w:rPr>
          <w:rFonts w:ascii="Calibri" w:hAnsi="Calibri" w:cs="Calibri"/>
          <w:sz w:val="16"/>
          <w:szCs w:val="16"/>
        </w:rPr>
        <w:t>Corporate structure and ownership information</w:t>
      </w:r>
    </w:p>
    <w:p w14:paraId="19D6A1E6" w14:textId="77777777" w:rsidR="00A047B6" w:rsidRPr="00A047B6" w:rsidRDefault="00A047B6" w:rsidP="00A047B6">
      <w:pPr>
        <w:numPr>
          <w:ilvl w:val="0"/>
          <w:numId w:val="5"/>
        </w:numPr>
        <w:rPr>
          <w:rFonts w:ascii="Calibri" w:hAnsi="Calibri" w:cs="Calibri"/>
          <w:sz w:val="16"/>
          <w:szCs w:val="16"/>
        </w:rPr>
      </w:pPr>
      <w:r w:rsidRPr="00A047B6">
        <w:rPr>
          <w:rFonts w:ascii="Calibri" w:hAnsi="Calibri" w:cs="Calibri"/>
          <w:sz w:val="16"/>
          <w:szCs w:val="16"/>
        </w:rPr>
        <w:t>Facility capacity and production data</w:t>
      </w:r>
    </w:p>
    <w:p w14:paraId="5A0DB2D2" w14:textId="77777777" w:rsidR="00A047B6" w:rsidRPr="00A047B6" w:rsidRDefault="00A047B6" w:rsidP="00A047B6">
      <w:pPr>
        <w:numPr>
          <w:ilvl w:val="0"/>
          <w:numId w:val="5"/>
        </w:numPr>
        <w:rPr>
          <w:rFonts w:ascii="Calibri" w:hAnsi="Calibri" w:cs="Calibri"/>
          <w:sz w:val="16"/>
          <w:szCs w:val="16"/>
        </w:rPr>
      </w:pPr>
      <w:r w:rsidRPr="00A047B6">
        <w:rPr>
          <w:rFonts w:ascii="Calibri" w:hAnsi="Calibri" w:cs="Calibri"/>
          <w:sz w:val="16"/>
          <w:szCs w:val="16"/>
        </w:rPr>
        <w:t>Technology partnerships and development history</w:t>
      </w:r>
    </w:p>
    <w:p w14:paraId="5A91F9F4" w14:textId="77777777" w:rsidR="00A047B6" w:rsidRPr="00A047B6" w:rsidRDefault="00A047B6" w:rsidP="00A047B6">
      <w:pPr>
        <w:numPr>
          <w:ilvl w:val="0"/>
          <w:numId w:val="5"/>
        </w:numPr>
        <w:rPr>
          <w:rFonts w:ascii="Calibri" w:hAnsi="Calibri" w:cs="Calibri"/>
          <w:sz w:val="16"/>
          <w:szCs w:val="16"/>
        </w:rPr>
      </w:pPr>
      <w:r w:rsidRPr="00A047B6">
        <w:rPr>
          <w:rFonts w:ascii="Calibri" w:hAnsi="Calibri" w:cs="Calibri"/>
          <w:sz w:val="16"/>
          <w:szCs w:val="16"/>
        </w:rPr>
        <w:t>Available at: https://oci-global.com/</w:t>
      </w:r>
    </w:p>
    <w:p w14:paraId="2D2EF369" w14:textId="77777777" w:rsidR="00A047B6" w:rsidRPr="00A047B6" w:rsidRDefault="00A047B6" w:rsidP="00A047B6">
      <w:pPr>
        <w:rPr>
          <w:rFonts w:ascii="Calibri" w:hAnsi="Calibri" w:cs="Calibri"/>
          <w:sz w:val="16"/>
          <w:szCs w:val="16"/>
        </w:rPr>
      </w:pPr>
      <w:proofErr w:type="spellStart"/>
      <w:r w:rsidRPr="00A047B6">
        <w:rPr>
          <w:rFonts w:ascii="Calibri" w:hAnsi="Calibri" w:cs="Calibri"/>
          <w:sz w:val="16"/>
          <w:szCs w:val="16"/>
        </w:rPr>
        <w:t>Fertiglobe</w:t>
      </w:r>
      <w:proofErr w:type="spellEnd"/>
      <w:r w:rsidRPr="00A047B6">
        <w:rPr>
          <w:rFonts w:ascii="Calibri" w:hAnsi="Calibri" w:cs="Calibri"/>
          <w:sz w:val="16"/>
          <w:szCs w:val="16"/>
        </w:rPr>
        <w:t xml:space="preserve"> Investor Relations</w:t>
      </w:r>
    </w:p>
    <w:p w14:paraId="7D3CE0F4" w14:textId="77777777" w:rsidR="00A047B6" w:rsidRPr="00A047B6" w:rsidRDefault="00A047B6" w:rsidP="00A047B6">
      <w:pPr>
        <w:numPr>
          <w:ilvl w:val="0"/>
          <w:numId w:val="6"/>
        </w:numPr>
        <w:rPr>
          <w:rFonts w:ascii="Calibri" w:hAnsi="Calibri" w:cs="Calibri"/>
          <w:sz w:val="16"/>
          <w:szCs w:val="16"/>
        </w:rPr>
      </w:pPr>
      <w:r w:rsidRPr="00A047B6">
        <w:rPr>
          <w:rFonts w:ascii="Calibri" w:hAnsi="Calibri" w:cs="Calibri"/>
          <w:sz w:val="16"/>
          <w:szCs w:val="16"/>
        </w:rPr>
        <w:t>Financial performance data (2024 EBITDA: USD 648 million)</w:t>
      </w:r>
    </w:p>
    <w:p w14:paraId="238EDA5E" w14:textId="77777777" w:rsidR="00A047B6" w:rsidRPr="00A047B6" w:rsidRDefault="00A047B6" w:rsidP="00A047B6">
      <w:pPr>
        <w:numPr>
          <w:ilvl w:val="0"/>
          <w:numId w:val="6"/>
        </w:numPr>
        <w:rPr>
          <w:rFonts w:ascii="Calibri" w:hAnsi="Calibri" w:cs="Calibri"/>
          <w:sz w:val="16"/>
          <w:szCs w:val="16"/>
        </w:rPr>
      </w:pPr>
      <w:r w:rsidRPr="00A047B6">
        <w:rPr>
          <w:rFonts w:ascii="Calibri" w:hAnsi="Calibri" w:cs="Calibri"/>
          <w:sz w:val="16"/>
          <w:szCs w:val="16"/>
        </w:rPr>
        <w:t>Production capacity and facility information</w:t>
      </w:r>
    </w:p>
    <w:p w14:paraId="3A5C0704" w14:textId="77777777" w:rsidR="00A047B6" w:rsidRPr="00A047B6" w:rsidRDefault="00A047B6" w:rsidP="00A047B6">
      <w:pPr>
        <w:numPr>
          <w:ilvl w:val="0"/>
          <w:numId w:val="6"/>
        </w:numPr>
        <w:rPr>
          <w:rFonts w:ascii="Calibri" w:hAnsi="Calibri" w:cs="Calibri"/>
          <w:sz w:val="16"/>
          <w:szCs w:val="16"/>
        </w:rPr>
      </w:pPr>
      <w:r w:rsidRPr="00A047B6">
        <w:rPr>
          <w:rFonts w:ascii="Calibri" w:hAnsi="Calibri" w:cs="Calibri"/>
          <w:sz w:val="16"/>
          <w:szCs w:val="16"/>
        </w:rPr>
        <w:t>Clean ammonia and sustainability initiatives</w:t>
      </w:r>
    </w:p>
    <w:p w14:paraId="7785E723" w14:textId="77777777" w:rsidR="00A047B6" w:rsidRPr="00A047B6" w:rsidRDefault="00A047B6" w:rsidP="00A047B6">
      <w:pPr>
        <w:numPr>
          <w:ilvl w:val="0"/>
          <w:numId w:val="6"/>
        </w:numPr>
        <w:rPr>
          <w:rFonts w:ascii="Calibri" w:hAnsi="Calibri" w:cs="Calibri"/>
          <w:sz w:val="16"/>
          <w:szCs w:val="16"/>
        </w:rPr>
      </w:pPr>
      <w:r w:rsidRPr="00A047B6">
        <w:rPr>
          <w:rFonts w:ascii="Calibri" w:hAnsi="Calibri" w:cs="Calibri"/>
          <w:sz w:val="16"/>
          <w:szCs w:val="16"/>
        </w:rPr>
        <w:t>Available at: https://fertiglobe.com/</w:t>
      </w:r>
    </w:p>
    <w:p w14:paraId="67011CE1"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lastRenderedPageBreak/>
        <w:t>Abu Qir Fertilizers and Chemical Industries Company</w:t>
      </w:r>
    </w:p>
    <w:p w14:paraId="30BDC49F" w14:textId="77777777" w:rsidR="00A047B6" w:rsidRPr="00A047B6" w:rsidRDefault="00A047B6" w:rsidP="00A047B6">
      <w:pPr>
        <w:numPr>
          <w:ilvl w:val="0"/>
          <w:numId w:val="7"/>
        </w:numPr>
        <w:rPr>
          <w:rFonts w:ascii="Calibri" w:hAnsi="Calibri" w:cs="Calibri"/>
          <w:sz w:val="16"/>
          <w:szCs w:val="16"/>
        </w:rPr>
      </w:pPr>
      <w:r w:rsidRPr="00A047B6">
        <w:rPr>
          <w:rFonts w:ascii="Calibri" w:hAnsi="Calibri" w:cs="Calibri"/>
          <w:sz w:val="16"/>
          <w:szCs w:val="16"/>
        </w:rPr>
        <w:t>Production capacity and facility specifications</w:t>
      </w:r>
    </w:p>
    <w:p w14:paraId="7B2CDC47" w14:textId="77777777" w:rsidR="00A047B6" w:rsidRPr="00A047B6" w:rsidRDefault="00A047B6" w:rsidP="00A047B6">
      <w:pPr>
        <w:numPr>
          <w:ilvl w:val="0"/>
          <w:numId w:val="7"/>
        </w:numPr>
        <w:rPr>
          <w:rFonts w:ascii="Calibri" w:hAnsi="Calibri" w:cs="Calibri"/>
          <w:sz w:val="16"/>
          <w:szCs w:val="16"/>
        </w:rPr>
      </w:pPr>
      <w:r w:rsidRPr="00A047B6">
        <w:rPr>
          <w:rFonts w:ascii="Calibri" w:hAnsi="Calibri" w:cs="Calibri"/>
          <w:sz w:val="16"/>
          <w:szCs w:val="16"/>
        </w:rPr>
        <w:t>Ownership structure and operational data</w:t>
      </w:r>
    </w:p>
    <w:p w14:paraId="030B8BCE" w14:textId="77777777" w:rsidR="00A047B6" w:rsidRPr="00A047B6" w:rsidRDefault="00A047B6" w:rsidP="00A047B6">
      <w:pPr>
        <w:numPr>
          <w:ilvl w:val="0"/>
          <w:numId w:val="7"/>
        </w:numPr>
        <w:rPr>
          <w:rFonts w:ascii="Calibri" w:hAnsi="Calibri" w:cs="Calibri"/>
          <w:sz w:val="16"/>
          <w:szCs w:val="16"/>
        </w:rPr>
      </w:pPr>
      <w:r w:rsidRPr="00A047B6">
        <w:rPr>
          <w:rFonts w:ascii="Calibri" w:hAnsi="Calibri" w:cs="Calibri"/>
          <w:sz w:val="16"/>
          <w:szCs w:val="16"/>
        </w:rPr>
        <w:t>Arab Fertilizer Association company profiles</w:t>
      </w:r>
    </w:p>
    <w:p w14:paraId="6CFF02A0" w14:textId="77777777" w:rsidR="00A047B6" w:rsidRPr="00A047B6" w:rsidRDefault="00A047B6" w:rsidP="00A047B6">
      <w:pPr>
        <w:rPr>
          <w:rFonts w:ascii="Calibri" w:hAnsi="Calibri" w:cs="Calibri"/>
          <w:sz w:val="16"/>
          <w:szCs w:val="16"/>
        </w:rPr>
      </w:pPr>
      <w:proofErr w:type="spellStart"/>
      <w:r w:rsidRPr="00A047B6">
        <w:rPr>
          <w:rFonts w:ascii="Calibri" w:hAnsi="Calibri" w:cs="Calibri"/>
          <w:sz w:val="16"/>
          <w:szCs w:val="16"/>
        </w:rPr>
        <w:t>Centamin</w:t>
      </w:r>
      <w:proofErr w:type="spellEnd"/>
      <w:r w:rsidRPr="00A047B6">
        <w:rPr>
          <w:rFonts w:ascii="Calibri" w:hAnsi="Calibri" w:cs="Calibri"/>
          <w:sz w:val="16"/>
          <w:szCs w:val="16"/>
        </w:rPr>
        <w:t xml:space="preserve"> PLC Reports</w:t>
      </w:r>
    </w:p>
    <w:p w14:paraId="0E149517" w14:textId="77777777" w:rsidR="00A047B6" w:rsidRPr="00A047B6" w:rsidRDefault="00A047B6" w:rsidP="00A047B6">
      <w:pPr>
        <w:numPr>
          <w:ilvl w:val="0"/>
          <w:numId w:val="8"/>
        </w:numPr>
        <w:rPr>
          <w:rFonts w:ascii="Calibri" w:hAnsi="Calibri" w:cs="Calibri"/>
          <w:sz w:val="16"/>
          <w:szCs w:val="16"/>
        </w:rPr>
      </w:pPr>
      <w:r w:rsidRPr="00A047B6">
        <w:rPr>
          <w:rFonts w:ascii="Calibri" w:hAnsi="Calibri" w:cs="Calibri"/>
          <w:sz w:val="16"/>
          <w:szCs w:val="16"/>
        </w:rPr>
        <w:t>Sukari Gold Mine operations (referenced for mining sector context)</w:t>
      </w:r>
    </w:p>
    <w:p w14:paraId="46A83932" w14:textId="77777777" w:rsidR="00A047B6" w:rsidRPr="00A047B6" w:rsidRDefault="00A047B6" w:rsidP="00A047B6">
      <w:pPr>
        <w:numPr>
          <w:ilvl w:val="0"/>
          <w:numId w:val="8"/>
        </w:numPr>
        <w:rPr>
          <w:rFonts w:ascii="Calibri" w:hAnsi="Calibri" w:cs="Calibri"/>
          <w:sz w:val="16"/>
          <w:szCs w:val="16"/>
        </w:rPr>
      </w:pPr>
      <w:r w:rsidRPr="00A047B6">
        <w:rPr>
          <w:rFonts w:ascii="Calibri" w:hAnsi="Calibri" w:cs="Calibri"/>
          <w:sz w:val="16"/>
          <w:szCs w:val="16"/>
        </w:rPr>
        <w:t>Egyptian mining industry operational standards</w:t>
      </w:r>
    </w:p>
    <w:p w14:paraId="3EA70297"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International Trade and Market Data</w:t>
      </w:r>
    </w:p>
    <w:p w14:paraId="281B2303"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Egyptian Streets - Business and Economic Reporting</w:t>
      </w:r>
    </w:p>
    <w:p w14:paraId="341B00DC" w14:textId="77777777" w:rsidR="00A047B6" w:rsidRPr="00A047B6" w:rsidRDefault="00A047B6" w:rsidP="00A047B6">
      <w:pPr>
        <w:numPr>
          <w:ilvl w:val="0"/>
          <w:numId w:val="9"/>
        </w:numPr>
        <w:rPr>
          <w:rFonts w:ascii="Calibri" w:hAnsi="Calibri" w:cs="Calibri"/>
          <w:sz w:val="16"/>
          <w:szCs w:val="16"/>
        </w:rPr>
      </w:pPr>
      <w:r w:rsidRPr="00A047B6">
        <w:rPr>
          <w:rFonts w:ascii="Calibri" w:hAnsi="Calibri" w:cs="Calibri"/>
          <w:sz w:val="16"/>
          <w:szCs w:val="16"/>
        </w:rPr>
        <w:t>"Egypt Strengthens Global Fertilizer Market Position with Export Growth" (September 26, 2024)</w:t>
      </w:r>
    </w:p>
    <w:p w14:paraId="0AFCB870" w14:textId="77777777" w:rsidR="00A047B6" w:rsidRPr="00A047B6" w:rsidRDefault="00A047B6" w:rsidP="00A047B6">
      <w:pPr>
        <w:numPr>
          <w:ilvl w:val="0"/>
          <w:numId w:val="9"/>
        </w:numPr>
        <w:rPr>
          <w:rFonts w:ascii="Calibri" w:hAnsi="Calibri" w:cs="Calibri"/>
          <w:sz w:val="16"/>
          <w:szCs w:val="16"/>
        </w:rPr>
      </w:pPr>
      <w:r w:rsidRPr="00A047B6">
        <w:rPr>
          <w:rFonts w:ascii="Calibri" w:hAnsi="Calibri" w:cs="Calibri"/>
          <w:sz w:val="16"/>
          <w:szCs w:val="16"/>
        </w:rPr>
        <w:t>Export performance data: EUR 85 million to Europe (July 2024)</w:t>
      </w:r>
    </w:p>
    <w:p w14:paraId="1C3C633A" w14:textId="77777777" w:rsidR="00A047B6" w:rsidRPr="00A047B6" w:rsidRDefault="00A047B6" w:rsidP="00A047B6">
      <w:pPr>
        <w:numPr>
          <w:ilvl w:val="0"/>
          <w:numId w:val="9"/>
        </w:numPr>
        <w:rPr>
          <w:rFonts w:ascii="Calibri" w:hAnsi="Calibri" w:cs="Calibri"/>
          <w:sz w:val="16"/>
          <w:szCs w:val="16"/>
        </w:rPr>
      </w:pPr>
      <w:r w:rsidRPr="00A047B6">
        <w:rPr>
          <w:rFonts w:ascii="Calibri" w:hAnsi="Calibri" w:cs="Calibri"/>
          <w:sz w:val="16"/>
          <w:szCs w:val="16"/>
        </w:rPr>
        <w:t>Global market positioning and trade statistics</w:t>
      </w:r>
    </w:p>
    <w:p w14:paraId="53B766EF"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Daily News Egypt</w:t>
      </w:r>
    </w:p>
    <w:p w14:paraId="3DF4C7E0" w14:textId="77777777" w:rsidR="00A047B6" w:rsidRPr="00A047B6" w:rsidRDefault="00A047B6" w:rsidP="00A047B6">
      <w:pPr>
        <w:numPr>
          <w:ilvl w:val="0"/>
          <w:numId w:val="10"/>
        </w:numPr>
        <w:rPr>
          <w:rFonts w:ascii="Calibri" w:hAnsi="Calibri" w:cs="Calibri"/>
          <w:sz w:val="16"/>
          <w:szCs w:val="16"/>
        </w:rPr>
      </w:pPr>
      <w:r w:rsidRPr="00A047B6">
        <w:rPr>
          <w:rFonts w:ascii="Calibri" w:hAnsi="Calibri" w:cs="Calibri"/>
          <w:sz w:val="16"/>
          <w:szCs w:val="16"/>
        </w:rPr>
        <w:t xml:space="preserve">Abu </w:t>
      </w:r>
      <w:proofErr w:type="spellStart"/>
      <w:r w:rsidRPr="00A047B6">
        <w:rPr>
          <w:rFonts w:ascii="Calibri" w:hAnsi="Calibri" w:cs="Calibri"/>
          <w:sz w:val="16"/>
          <w:szCs w:val="16"/>
        </w:rPr>
        <w:t>Tartur</w:t>
      </w:r>
      <w:proofErr w:type="spellEnd"/>
      <w:r w:rsidRPr="00A047B6">
        <w:rPr>
          <w:rFonts w:ascii="Calibri" w:hAnsi="Calibri" w:cs="Calibri"/>
          <w:sz w:val="16"/>
          <w:szCs w:val="16"/>
        </w:rPr>
        <w:t xml:space="preserve"> phosphoric acid complex development coverage</w:t>
      </w:r>
    </w:p>
    <w:p w14:paraId="72A4A92C" w14:textId="77777777" w:rsidR="00A047B6" w:rsidRPr="00A047B6" w:rsidRDefault="00A047B6" w:rsidP="00A047B6">
      <w:pPr>
        <w:numPr>
          <w:ilvl w:val="0"/>
          <w:numId w:val="10"/>
        </w:numPr>
        <w:rPr>
          <w:rFonts w:ascii="Calibri" w:hAnsi="Calibri" w:cs="Calibri"/>
          <w:sz w:val="16"/>
          <w:szCs w:val="16"/>
        </w:rPr>
      </w:pPr>
      <w:r w:rsidRPr="00A047B6">
        <w:rPr>
          <w:rFonts w:ascii="Calibri" w:hAnsi="Calibri" w:cs="Calibri"/>
          <w:sz w:val="16"/>
          <w:szCs w:val="16"/>
        </w:rPr>
        <w:t>Investment announcements and project timelines</w:t>
      </w:r>
    </w:p>
    <w:p w14:paraId="31FB0428" w14:textId="77777777" w:rsidR="00A047B6" w:rsidRPr="00A047B6" w:rsidRDefault="00A047B6" w:rsidP="00A047B6">
      <w:pPr>
        <w:numPr>
          <w:ilvl w:val="0"/>
          <w:numId w:val="10"/>
        </w:numPr>
        <w:rPr>
          <w:rFonts w:ascii="Calibri" w:hAnsi="Calibri" w:cs="Calibri"/>
          <w:sz w:val="16"/>
          <w:szCs w:val="16"/>
        </w:rPr>
      </w:pPr>
      <w:r w:rsidRPr="00A047B6">
        <w:rPr>
          <w:rFonts w:ascii="Calibri" w:hAnsi="Calibri" w:cs="Calibri"/>
          <w:sz w:val="16"/>
          <w:szCs w:val="16"/>
        </w:rPr>
        <w:t>Government policy and strategic initiatives</w:t>
      </w:r>
    </w:p>
    <w:p w14:paraId="05DB4016"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Business Today Egypt</w:t>
      </w:r>
    </w:p>
    <w:p w14:paraId="47363F65" w14:textId="77777777" w:rsidR="00A047B6" w:rsidRPr="00A047B6" w:rsidRDefault="00A047B6" w:rsidP="00A047B6">
      <w:pPr>
        <w:numPr>
          <w:ilvl w:val="0"/>
          <w:numId w:val="11"/>
        </w:numPr>
        <w:rPr>
          <w:rFonts w:ascii="Calibri" w:hAnsi="Calibri" w:cs="Calibri"/>
          <w:sz w:val="16"/>
          <w:szCs w:val="16"/>
        </w:rPr>
      </w:pPr>
      <w:r w:rsidRPr="00A047B6">
        <w:rPr>
          <w:rFonts w:ascii="Calibri" w:hAnsi="Calibri" w:cs="Calibri"/>
          <w:sz w:val="16"/>
          <w:szCs w:val="16"/>
        </w:rPr>
        <w:t>Chemicals and fertilizer sector export targets</w:t>
      </w:r>
    </w:p>
    <w:p w14:paraId="072AD066" w14:textId="77777777" w:rsidR="00A047B6" w:rsidRPr="00A047B6" w:rsidRDefault="00A047B6" w:rsidP="00A047B6">
      <w:pPr>
        <w:numPr>
          <w:ilvl w:val="0"/>
          <w:numId w:val="11"/>
        </w:numPr>
        <w:rPr>
          <w:rFonts w:ascii="Calibri" w:hAnsi="Calibri" w:cs="Calibri"/>
          <w:sz w:val="16"/>
          <w:szCs w:val="16"/>
        </w:rPr>
      </w:pPr>
      <w:r w:rsidRPr="00A047B6">
        <w:rPr>
          <w:rFonts w:ascii="Calibri" w:hAnsi="Calibri" w:cs="Calibri"/>
          <w:sz w:val="16"/>
          <w:szCs w:val="16"/>
        </w:rPr>
        <w:t>"Egypt's chemicals &amp; fertilizer sector targets $10B exports during 2025"</w:t>
      </w:r>
    </w:p>
    <w:p w14:paraId="10899035" w14:textId="77777777" w:rsidR="00A047B6" w:rsidRPr="00A047B6" w:rsidRDefault="00A047B6" w:rsidP="00A047B6">
      <w:pPr>
        <w:numPr>
          <w:ilvl w:val="0"/>
          <w:numId w:val="11"/>
        </w:numPr>
        <w:rPr>
          <w:rFonts w:ascii="Calibri" w:hAnsi="Calibri" w:cs="Calibri"/>
          <w:sz w:val="16"/>
          <w:szCs w:val="16"/>
        </w:rPr>
      </w:pPr>
      <w:r w:rsidRPr="00A047B6">
        <w:rPr>
          <w:rFonts w:ascii="Calibri" w:hAnsi="Calibri" w:cs="Calibri"/>
          <w:sz w:val="16"/>
          <w:szCs w:val="16"/>
        </w:rPr>
        <w:t>Industry performance metrics and growth projections</w:t>
      </w:r>
    </w:p>
    <w:p w14:paraId="086DE8BF"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World Bank Commodity Markets Outlook</w:t>
      </w:r>
    </w:p>
    <w:p w14:paraId="7B86904B" w14:textId="77777777" w:rsidR="00A047B6" w:rsidRPr="00A047B6" w:rsidRDefault="00A047B6" w:rsidP="00A047B6">
      <w:pPr>
        <w:numPr>
          <w:ilvl w:val="0"/>
          <w:numId w:val="12"/>
        </w:numPr>
        <w:rPr>
          <w:rFonts w:ascii="Calibri" w:hAnsi="Calibri" w:cs="Calibri"/>
          <w:sz w:val="16"/>
          <w:szCs w:val="16"/>
        </w:rPr>
      </w:pPr>
      <w:r w:rsidRPr="00A047B6">
        <w:rPr>
          <w:rFonts w:ascii="Calibri" w:hAnsi="Calibri" w:cs="Calibri"/>
          <w:sz w:val="16"/>
          <w:szCs w:val="16"/>
        </w:rPr>
        <w:t>Global fertilizer market analysis and price trends</w:t>
      </w:r>
    </w:p>
    <w:p w14:paraId="745A9430" w14:textId="77777777" w:rsidR="00A047B6" w:rsidRPr="00A047B6" w:rsidRDefault="00A047B6" w:rsidP="00A047B6">
      <w:pPr>
        <w:numPr>
          <w:ilvl w:val="0"/>
          <w:numId w:val="12"/>
        </w:numPr>
        <w:rPr>
          <w:rFonts w:ascii="Calibri" w:hAnsi="Calibri" w:cs="Calibri"/>
          <w:sz w:val="16"/>
          <w:szCs w:val="16"/>
        </w:rPr>
      </w:pPr>
      <w:r w:rsidRPr="00A047B6">
        <w:rPr>
          <w:rFonts w:ascii="Calibri" w:hAnsi="Calibri" w:cs="Calibri"/>
          <w:sz w:val="16"/>
          <w:szCs w:val="16"/>
        </w:rPr>
        <w:t>"Fertilizer prices stabilize amid lower input costs and trade shifts" (January 15, 2025)</w:t>
      </w:r>
    </w:p>
    <w:p w14:paraId="51F3FAE2" w14:textId="77777777" w:rsidR="00A047B6" w:rsidRPr="00A047B6" w:rsidRDefault="00A047B6" w:rsidP="00A047B6">
      <w:pPr>
        <w:numPr>
          <w:ilvl w:val="0"/>
          <w:numId w:val="12"/>
        </w:numPr>
        <w:rPr>
          <w:rFonts w:ascii="Calibri" w:hAnsi="Calibri" w:cs="Calibri"/>
          <w:sz w:val="16"/>
          <w:szCs w:val="16"/>
        </w:rPr>
      </w:pPr>
      <w:r w:rsidRPr="00A047B6">
        <w:rPr>
          <w:rFonts w:ascii="Calibri" w:hAnsi="Calibri" w:cs="Calibri"/>
          <w:sz w:val="16"/>
          <w:szCs w:val="16"/>
        </w:rPr>
        <w:t>International trade policy impacts</w:t>
      </w:r>
    </w:p>
    <w:p w14:paraId="17EC9D46"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Academic and Research Sources</w:t>
      </w:r>
    </w:p>
    <w:p w14:paraId="6B5A52DB"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Food and Agriculture Organization (FAO)</w:t>
      </w:r>
    </w:p>
    <w:p w14:paraId="03297FE4" w14:textId="77777777" w:rsidR="00A047B6" w:rsidRPr="00A047B6" w:rsidRDefault="00A047B6" w:rsidP="00A047B6">
      <w:pPr>
        <w:numPr>
          <w:ilvl w:val="0"/>
          <w:numId w:val="13"/>
        </w:numPr>
        <w:rPr>
          <w:rFonts w:ascii="Calibri" w:hAnsi="Calibri" w:cs="Calibri"/>
          <w:sz w:val="16"/>
          <w:szCs w:val="16"/>
        </w:rPr>
      </w:pPr>
      <w:r w:rsidRPr="00A047B6">
        <w:rPr>
          <w:rFonts w:ascii="Calibri" w:hAnsi="Calibri" w:cs="Calibri"/>
          <w:sz w:val="16"/>
          <w:szCs w:val="16"/>
        </w:rPr>
        <w:t>"Fertilizer use by crop in Egypt"</w:t>
      </w:r>
    </w:p>
    <w:p w14:paraId="6A1C09B2" w14:textId="77777777" w:rsidR="00A047B6" w:rsidRPr="00A047B6" w:rsidRDefault="00A047B6" w:rsidP="00A047B6">
      <w:pPr>
        <w:numPr>
          <w:ilvl w:val="0"/>
          <w:numId w:val="13"/>
        </w:numPr>
        <w:rPr>
          <w:rFonts w:ascii="Calibri" w:hAnsi="Calibri" w:cs="Calibri"/>
          <w:sz w:val="16"/>
          <w:szCs w:val="16"/>
        </w:rPr>
      </w:pPr>
      <w:r w:rsidRPr="00A047B6">
        <w:rPr>
          <w:rFonts w:ascii="Calibri" w:hAnsi="Calibri" w:cs="Calibri"/>
          <w:sz w:val="16"/>
          <w:szCs w:val="16"/>
        </w:rPr>
        <w:t>Historical development of Egyptian fertilizer usage</w:t>
      </w:r>
    </w:p>
    <w:p w14:paraId="50ACD086" w14:textId="77777777" w:rsidR="00A047B6" w:rsidRPr="00A047B6" w:rsidRDefault="00A047B6" w:rsidP="00A047B6">
      <w:pPr>
        <w:numPr>
          <w:ilvl w:val="0"/>
          <w:numId w:val="13"/>
        </w:numPr>
        <w:rPr>
          <w:rFonts w:ascii="Calibri" w:hAnsi="Calibri" w:cs="Calibri"/>
          <w:sz w:val="16"/>
          <w:szCs w:val="16"/>
        </w:rPr>
      </w:pPr>
      <w:r w:rsidRPr="00A047B6">
        <w:rPr>
          <w:rFonts w:ascii="Calibri" w:hAnsi="Calibri" w:cs="Calibri"/>
          <w:sz w:val="16"/>
          <w:szCs w:val="16"/>
        </w:rPr>
        <w:t>Agricultural sector integration analysis</w:t>
      </w:r>
    </w:p>
    <w:p w14:paraId="10C893E0" w14:textId="77777777" w:rsidR="00A047B6" w:rsidRPr="00A047B6" w:rsidRDefault="00A047B6" w:rsidP="00A047B6">
      <w:pPr>
        <w:numPr>
          <w:ilvl w:val="0"/>
          <w:numId w:val="13"/>
        </w:numPr>
        <w:rPr>
          <w:rFonts w:ascii="Calibri" w:hAnsi="Calibri" w:cs="Calibri"/>
          <w:sz w:val="16"/>
          <w:szCs w:val="16"/>
        </w:rPr>
      </w:pPr>
      <w:r w:rsidRPr="00A047B6">
        <w:rPr>
          <w:rFonts w:ascii="Calibri" w:hAnsi="Calibri" w:cs="Calibri"/>
          <w:sz w:val="16"/>
          <w:szCs w:val="16"/>
        </w:rPr>
        <w:t>Available at: https://www.fao.org/4/y5863e/y5863e08.htm</w:t>
      </w:r>
    </w:p>
    <w:p w14:paraId="79DDC121"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ScienceDirect Academic Publications</w:t>
      </w:r>
    </w:p>
    <w:p w14:paraId="4B46F723" w14:textId="77777777" w:rsidR="00A047B6" w:rsidRPr="00A047B6" w:rsidRDefault="00A047B6" w:rsidP="00A047B6">
      <w:pPr>
        <w:numPr>
          <w:ilvl w:val="0"/>
          <w:numId w:val="14"/>
        </w:numPr>
        <w:rPr>
          <w:rFonts w:ascii="Calibri" w:hAnsi="Calibri" w:cs="Calibri"/>
          <w:sz w:val="16"/>
          <w:szCs w:val="16"/>
        </w:rPr>
      </w:pPr>
      <w:r w:rsidRPr="00A047B6">
        <w:rPr>
          <w:rFonts w:ascii="Calibri" w:hAnsi="Calibri" w:cs="Calibri"/>
          <w:sz w:val="16"/>
          <w:szCs w:val="16"/>
        </w:rPr>
        <w:lastRenderedPageBreak/>
        <w:t>"The potential production of rock-based fertilizer and soil conditioner from phosphate mine wastes"</w:t>
      </w:r>
    </w:p>
    <w:p w14:paraId="7C83E622" w14:textId="77777777" w:rsidR="00A047B6" w:rsidRPr="00A047B6" w:rsidRDefault="00A047B6" w:rsidP="00A047B6">
      <w:pPr>
        <w:numPr>
          <w:ilvl w:val="0"/>
          <w:numId w:val="14"/>
        </w:numPr>
        <w:rPr>
          <w:rFonts w:ascii="Calibri" w:hAnsi="Calibri" w:cs="Calibri"/>
          <w:sz w:val="16"/>
          <w:szCs w:val="16"/>
        </w:rPr>
      </w:pPr>
      <w:r w:rsidRPr="00A047B6">
        <w:rPr>
          <w:rFonts w:ascii="Calibri" w:hAnsi="Calibri" w:cs="Calibri"/>
          <w:sz w:val="16"/>
          <w:szCs w:val="16"/>
        </w:rPr>
        <w:t xml:space="preserve">Abu </w:t>
      </w:r>
      <w:proofErr w:type="spellStart"/>
      <w:r w:rsidRPr="00A047B6">
        <w:rPr>
          <w:rFonts w:ascii="Calibri" w:hAnsi="Calibri" w:cs="Calibri"/>
          <w:sz w:val="16"/>
          <w:szCs w:val="16"/>
        </w:rPr>
        <w:t>Tartur</w:t>
      </w:r>
      <w:proofErr w:type="spellEnd"/>
      <w:r w:rsidRPr="00A047B6">
        <w:rPr>
          <w:rFonts w:ascii="Calibri" w:hAnsi="Calibri" w:cs="Calibri"/>
          <w:sz w:val="16"/>
          <w:szCs w:val="16"/>
        </w:rPr>
        <w:t xml:space="preserve"> plateau geological and resource analysis</w:t>
      </w:r>
    </w:p>
    <w:p w14:paraId="6B20A02F" w14:textId="77777777" w:rsidR="00A047B6" w:rsidRPr="00A047B6" w:rsidRDefault="00A047B6" w:rsidP="00A047B6">
      <w:pPr>
        <w:numPr>
          <w:ilvl w:val="0"/>
          <w:numId w:val="14"/>
        </w:numPr>
        <w:rPr>
          <w:rFonts w:ascii="Calibri" w:hAnsi="Calibri" w:cs="Calibri"/>
          <w:sz w:val="16"/>
          <w:szCs w:val="16"/>
        </w:rPr>
      </w:pPr>
      <w:r w:rsidRPr="00A047B6">
        <w:rPr>
          <w:rFonts w:ascii="Calibri" w:hAnsi="Calibri" w:cs="Calibri"/>
          <w:sz w:val="16"/>
          <w:szCs w:val="16"/>
        </w:rPr>
        <w:t>Technical studies on phosphate beneficiation</w:t>
      </w:r>
    </w:p>
    <w:p w14:paraId="5DAE1266"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Sustainability Science Journal</w:t>
      </w:r>
    </w:p>
    <w:p w14:paraId="7A04BF79" w14:textId="77777777" w:rsidR="00A047B6" w:rsidRPr="00A047B6" w:rsidRDefault="00A047B6" w:rsidP="00A047B6">
      <w:pPr>
        <w:numPr>
          <w:ilvl w:val="0"/>
          <w:numId w:val="15"/>
        </w:numPr>
        <w:rPr>
          <w:rFonts w:ascii="Calibri" w:hAnsi="Calibri" w:cs="Calibri"/>
          <w:sz w:val="16"/>
          <w:szCs w:val="16"/>
        </w:rPr>
      </w:pPr>
      <w:r w:rsidRPr="00A047B6">
        <w:rPr>
          <w:rFonts w:ascii="Calibri" w:hAnsi="Calibri" w:cs="Calibri"/>
          <w:sz w:val="16"/>
          <w:szCs w:val="16"/>
        </w:rPr>
        <w:t>"An extractive bioeconomy? Phosphate mining, fertilizer commodity chains, and alternative technologies"</w:t>
      </w:r>
    </w:p>
    <w:p w14:paraId="23327ECB" w14:textId="77777777" w:rsidR="00A047B6" w:rsidRPr="00A047B6" w:rsidRDefault="00A047B6" w:rsidP="00A047B6">
      <w:pPr>
        <w:numPr>
          <w:ilvl w:val="0"/>
          <w:numId w:val="15"/>
        </w:numPr>
        <w:rPr>
          <w:rFonts w:ascii="Calibri" w:hAnsi="Calibri" w:cs="Calibri"/>
          <w:sz w:val="16"/>
          <w:szCs w:val="16"/>
        </w:rPr>
      </w:pPr>
      <w:r w:rsidRPr="00A047B6">
        <w:rPr>
          <w:rFonts w:ascii="Calibri" w:hAnsi="Calibri" w:cs="Calibri"/>
          <w:sz w:val="16"/>
          <w:szCs w:val="16"/>
        </w:rPr>
        <w:t>Historical context of phosphate industry development</w:t>
      </w:r>
    </w:p>
    <w:p w14:paraId="6336F2B5" w14:textId="77777777" w:rsidR="00A047B6" w:rsidRPr="00A047B6" w:rsidRDefault="00A047B6" w:rsidP="00A047B6">
      <w:pPr>
        <w:numPr>
          <w:ilvl w:val="0"/>
          <w:numId w:val="15"/>
        </w:numPr>
        <w:rPr>
          <w:rFonts w:ascii="Calibri" w:hAnsi="Calibri" w:cs="Calibri"/>
          <w:sz w:val="16"/>
          <w:szCs w:val="16"/>
        </w:rPr>
      </w:pPr>
      <w:r w:rsidRPr="00A047B6">
        <w:rPr>
          <w:rFonts w:ascii="Calibri" w:hAnsi="Calibri" w:cs="Calibri"/>
          <w:sz w:val="16"/>
          <w:szCs w:val="16"/>
        </w:rPr>
        <w:t>Regional comparative analysis</w:t>
      </w:r>
    </w:p>
    <w:p w14:paraId="4E09F61A"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International Industry and Trade Sources</w:t>
      </w:r>
    </w:p>
    <w:p w14:paraId="6F330FF2"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Arab Fertilizer Association</w:t>
      </w:r>
    </w:p>
    <w:p w14:paraId="14F7A237" w14:textId="77777777" w:rsidR="00A047B6" w:rsidRPr="00A047B6" w:rsidRDefault="00A047B6" w:rsidP="00A047B6">
      <w:pPr>
        <w:numPr>
          <w:ilvl w:val="0"/>
          <w:numId w:val="16"/>
        </w:numPr>
        <w:rPr>
          <w:rFonts w:ascii="Calibri" w:hAnsi="Calibri" w:cs="Calibri"/>
          <w:sz w:val="16"/>
          <w:szCs w:val="16"/>
        </w:rPr>
      </w:pPr>
      <w:r w:rsidRPr="00A047B6">
        <w:rPr>
          <w:rFonts w:ascii="Calibri" w:hAnsi="Calibri" w:cs="Calibri"/>
          <w:sz w:val="16"/>
          <w:szCs w:val="16"/>
        </w:rPr>
        <w:t>Company profiles and capacity data</w:t>
      </w:r>
    </w:p>
    <w:p w14:paraId="7B16CFA6" w14:textId="77777777" w:rsidR="00A047B6" w:rsidRPr="00A047B6" w:rsidRDefault="00A047B6" w:rsidP="00A047B6">
      <w:pPr>
        <w:numPr>
          <w:ilvl w:val="0"/>
          <w:numId w:val="16"/>
        </w:numPr>
        <w:rPr>
          <w:rFonts w:ascii="Calibri" w:hAnsi="Calibri" w:cs="Calibri"/>
          <w:sz w:val="16"/>
          <w:szCs w:val="16"/>
        </w:rPr>
      </w:pPr>
      <w:r w:rsidRPr="00A047B6">
        <w:rPr>
          <w:rFonts w:ascii="Calibri" w:hAnsi="Calibri" w:cs="Calibri"/>
          <w:sz w:val="16"/>
          <w:szCs w:val="16"/>
        </w:rPr>
        <w:t>Regional industry structure and development</w:t>
      </w:r>
    </w:p>
    <w:p w14:paraId="352911EF" w14:textId="77777777" w:rsidR="00A047B6" w:rsidRPr="00A047B6" w:rsidRDefault="00A047B6" w:rsidP="00A047B6">
      <w:pPr>
        <w:numPr>
          <w:ilvl w:val="0"/>
          <w:numId w:val="16"/>
        </w:numPr>
        <w:rPr>
          <w:rFonts w:ascii="Calibri" w:hAnsi="Calibri" w:cs="Calibri"/>
          <w:sz w:val="16"/>
          <w:szCs w:val="16"/>
        </w:rPr>
      </w:pPr>
      <w:r w:rsidRPr="00A047B6">
        <w:rPr>
          <w:rFonts w:ascii="Calibri" w:hAnsi="Calibri" w:cs="Calibri"/>
          <w:sz w:val="16"/>
          <w:szCs w:val="16"/>
        </w:rPr>
        <w:t>Technical specifications and standards</w:t>
      </w:r>
    </w:p>
    <w:p w14:paraId="03A1D6C5" w14:textId="77777777" w:rsidR="00A047B6" w:rsidRPr="00A047B6" w:rsidRDefault="00A047B6" w:rsidP="00A047B6">
      <w:pPr>
        <w:rPr>
          <w:rFonts w:ascii="Calibri" w:hAnsi="Calibri" w:cs="Calibri"/>
          <w:sz w:val="16"/>
          <w:szCs w:val="16"/>
        </w:rPr>
      </w:pPr>
      <w:proofErr w:type="spellStart"/>
      <w:r w:rsidRPr="00A047B6">
        <w:rPr>
          <w:rFonts w:ascii="Calibri" w:hAnsi="Calibri" w:cs="Calibri"/>
          <w:sz w:val="16"/>
          <w:szCs w:val="16"/>
        </w:rPr>
        <w:t>IndexBox</w:t>
      </w:r>
      <w:proofErr w:type="spellEnd"/>
      <w:r w:rsidRPr="00A047B6">
        <w:rPr>
          <w:rFonts w:ascii="Calibri" w:hAnsi="Calibri" w:cs="Calibri"/>
          <w:sz w:val="16"/>
          <w:szCs w:val="16"/>
        </w:rPr>
        <w:t xml:space="preserve"> Market Research</w:t>
      </w:r>
    </w:p>
    <w:p w14:paraId="72B8E7FB" w14:textId="77777777" w:rsidR="00A047B6" w:rsidRPr="00A047B6" w:rsidRDefault="00A047B6" w:rsidP="00A047B6">
      <w:pPr>
        <w:numPr>
          <w:ilvl w:val="0"/>
          <w:numId w:val="17"/>
        </w:numPr>
        <w:rPr>
          <w:rFonts w:ascii="Calibri" w:hAnsi="Calibri" w:cs="Calibri"/>
          <w:sz w:val="16"/>
          <w:szCs w:val="16"/>
        </w:rPr>
      </w:pPr>
      <w:r w:rsidRPr="00A047B6">
        <w:rPr>
          <w:rFonts w:ascii="Calibri" w:hAnsi="Calibri" w:cs="Calibri"/>
          <w:sz w:val="16"/>
          <w:szCs w:val="16"/>
        </w:rPr>
        <w:t>"Egypt's NPK Fertilizer Market Report 2025"</w:t>
      </w:r>
    </w:p>
    <w:p w14:paraId="3AA86CAA" w14:textId="77777777" w:rsidR="00A047B6" w:rsidRPr="00A047B6" w:rsidRDefault="00A047B6" w:rsidP="00A047B6">
      <w:pPr>
        <w:numPr>
          <w:ilvl w:val="0"/>
          <w:numId w:val="17"/>
        </w:numPr>
        <w:rPr>
          <w:rFonts w:ascii="Calibri" w:hAnsi="Calibri" w:cs="Calibri"/>
          <w:sz w:val="16"/>
          <w:szCs w:val="16"/>
        </w:rPr>
      </w:pPr>
      <w:r w:rsidRPr="00A047B6">
        <w:rPr>
          <w:rFonts w:ascii="Calibri" w:hAnsi="Calibri" w:cs="Calibri"/>
          <w:sz w:val="16"/>
          <w:szCs w:val="16"/>
        </w:rPr>
        <w:t>Trade flow analysis and import/export statistics</w:t>
      </w:r>
    </w:p>
    <w:p w14:paraId="6A5D7F8F" w14:textId="77777777" w:rsidR="00A047B6" w:rsidRPr="00A047B6" w:rsidRDefault="00A047B6" w:rsidP="00A047B6">
      <w:pPr>
        <w:numPr>
          <w:ilvl w:val="0"/>
          <w:numId w:val="17"/>
        </w:numPr>
        <w:rPr>
          <w:rFonts w:ascii="Calibri" w:hAnsi="Calibri" w:cs="Calibri"/>
          <w:sz w:val="16"/>
          <w:szCs w:val="16"/>
        </w:rPr>
      </w:pPr>
      <w:r w:rsidRPr="00A047B6">
        <w:rPr>
          <w:rFonts w:ascii="Calibri" w:hAnsi="Calibri" w:cs="Calibri"/>
          <w:sz w:val="16"/>
          <w:szCs w:val="16"/>
        </w:rPr>
        <w:t>Market size and growth projections</w:t>
      </w:r>
    </w:p>
    <w:p w14:paraId="1FF38DEF" w14:textId="77777777" w:rsidR="00A047B6" w:rsidRPr="00A047B6" w:rsidRDefault="00A047B6" w:rsidP="00A047B6">
      <w:pPr>
        <w:rPr>
          <w:rFonts w:ascii="Calibri" w:hAnsi="Calibri" w:cs="Calibri"/>
          <w:sz w:val="16"/>
          <w:szCs w:val="16"/>
        </w:rPr>
      </w:pPr>
      <w:proofErr w:type="spellStart"/>
      <w:r w:rsidRPr="00A047B6">
        <w:rPr>
          <w:rFonts w:ascii="Calibri" w:hAnsi="Calibri" w:cs="Calibri"/>
          <w:sz w:val="16"/>
          <w:szCs w:val="16"/>
        </w:rPr>
        <w:t>ChemAnalyst</w:t>
      </w:r>
      <w:proofErr w:type="spellEnd"/>
      <w:r w:rsidRPr="00A047B6">
        <w:rPr>
          <w:rFonts w:ascii="Calibri" w:hAnsi="Calibri" w:cs="Calibri"/>
          <w:sz w:val="16"/>
          <w:szCs w:val="16"/>
        </w:rPr>
        <w:t xml:space="preserve"> Industry Intelligence</w:t>
      </w:r>
    </w:p>
    <w:p w14:paraId="5D98BC66" w14:textId="77777777" w:rsidR="00A047B6" w:rsidRPr="00A047B6" w:rsidRDefault="00A047B6" w:rsidP="00A047B6">
      <w:pPr>
        <w:numPr>
          <w:ilvl w:val="0"/>
          <w:numId w:val="18"/>
        </w:numPr>
        <w:rPr>
          <w:rFonts w:ascii="Calibri" w:hAnsi="Calibri" w:cs="Calibri"/>
          <w:sz w:val="16"/>
          <w:szCs w:val="16"/>
        </w:rPr>
      </w:pPr>
      <w:r w:rsidRPr="00A047B6">
        <w:rPr>
          <w:rFonts w:ascii="Calibri" w:hAnsi="Calibri" w:cs="Calibri"/>
          <w:sz w:val="16"/>
          <w:szCs w:val="16"/>
        </w:rPr>
        <w:t>"Egyptian Consortium to Launch $1.2 Billion Phosphoric Acid Production Facility"</w:t>
      </w:r>
    </w:p>
    <w:p w14:paraId="47808632" w14:textId="77777777" w:rsidR="00A047B6" w:rsidRPr="00A047B6" w:rsidRDefault="00A047B6" w:rsidP="00A047B6">
      <w:pPr>
        <w:numPr>
          <w:ilvl w:val="0"/>
          <w:numId w:val="18"/>
        </w:numPr>
        <w:rPr>
          <w:rFonts w:ascii="Calibri" w:hAnsi="Calibri" w:cs="Calibri"/>
          <w:sz w:val="16"/>
          <w:szCs w:val="16"/>
        </w:rPr>
      </w:pPr>
      <w:r w:rsidRPr="00A047B6">
        <w:rPr>
          <w:rFonts w:ascii="Calibri" w:hAnsi="Calibri" w:cs="Calibri"/>
          <w:sz w:val="16"/>
          <w:szCs w:val="16"/>
        </w:rPr>
        <w:t>Investment project analysis and market implications</w:t>
      </w:r>
    </w:p>
    <w:p w14:paraId="28A910A5"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Ecofin Agency</w:t>
      </w:r>
    </w:p>
    <w:p w14:paraId="78F053AB" w14:textId="77777777" w:rsidR="00A047B6" w:rsidRPr="00A047B6" w:rsidRDefault="00A047B6" w:rsidP="00A047B6">
      <w:pPr>
        <w:numPr>
          <w:ilvl w:val="0"/>
          <w:numId w:val="19"/>
        </w:numPr>
        <w:rPr>
          <w:rFonts w:ascii="Calibri" w:hAnsi="Calibri" w:cs="Calibri"/>
          <w:sz w:val="16"/>
          <w:szCs w:val="16"/>
        </w:rPr>
      </w:pPr>
      <w:r w:rsidRPr="00A047B6">
        <w:rPr>
          <w:rFonts w:ascii="Calibri" w:hAnsi="Calibri" w:cs="Calibri"/>
          <w:sz w:val="16"/>
          <w:szCs w:val="16"/>
        </w:rPr>
        <w:t>"Egypt to invest $573mln phase 1 of phosphoric acid plant by 2026"</w:t>
      </w:r>
    </w:p>
    <w:p w14:paraId="36C6BD22" w14:textId="77777777" w:rsidR="00A047B6" w:rsidRPr="00A047B6" w:rsidRDefault="00A047B6" w:rsidP="00A047B6">
      <w:pPr>
        <w:numPr>
          <w:ilvl w:val="0"/>
          <w:numId w:val="19"/>
        </w:numPr>
        <w:rPr>
          <w:rFonts w:ascii="Calibri" w:hAnsi="Calibri" w:cs="Calibri"/>
          <w:sz w:val="16"/>
          <w:szCs w:val="16"/>
        </w:rPr>
      </w:pPr>
      <w:r w:rsidRPr="00A047B6">
        <w:rPr>
          <w:rFonts w:ascii="Calibri" w:hAnsi="Calibri" w:cs="Calibri"/>
          <w:sz w:val="16"/>
          <w:szCs w:val="16"/>
        </w:rPr>
        <w:t>Project financing and development timeline information</w:t>
      </w:r>
    </w:p>
    <w:p w14:paraId="01529E7E"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Site Selection Magazine</w:t>
      </w:r>
    </w:p>
    <w:p w14:paraId="5996F2C8" w14:textId="77777777" w:rsidR="00A047B6" w:rsidRPr="00A047B6" w:rsidRDefault="00A047B6" w:rsidP="00A047B6">
      <w:pPr>
        <w:numPr>
          <w:ilvl w:val="0"/>
          <w:numId w:val="20"/>
        </w:numPr>
        <w:rPr>
          <w:rFonts w:ascii="Calibri" w:hAnsi="Calibri" w:cs="Calibri"/>
          <w:sz w:val="16"/>
          <w:szCs w:val="16"/>
        </w:rPr>
      </w:pPr>
      <w:r w:rsidRPr="00A047B6">
        <w:rPr>
          <w:rFonts w:ascii="Calibri" w:hAnsi="Calibri" w:cs="Calibri"/>
          <w:sz w:val="16"/>
          <w:szCs w:val="16"/>
        </w:rPr>
        <w:t>"Egypt to Maximize Mineral Opportunities with Assist from China"</w:t>
      </w:r>
    </w:p>
    <w:p w14:paraId="0EECC68A" w14:textId="77777777" w:rsidR="00A047B6" w:rsidRPr="00A047B6" w:rsidRDefault="00A047B6" w:rsidP="00A047B6">
      <w:pPr>
        <w:numPr>
          <w:ilvl w:val="0"/>
          <w:numId w:val="20"/>
        </w:numPr>
        <w:rPr>
          <w:rFonts w:ascii="Calibri" w:hAnsi="Calibri" w:cs="Calibri"/>
          <w:sz w:val="16"/>
          <w:szCs w:val="16"/>
        </w:rPr>
      </w:pPr>
      <w:r w:rsidRPr="00A047B6">
        <w:rPr>
          <w:rFonts w:ascii="Calibri" w:hAnsi="Calibri" w:cs="Calibri"/>
          <w:sz w:val="16"/>
          <w:szCs w:val="16"/>
        </w:rPr>
        <w:t>International partnership and investment analysis</w:t>
      </w:r>
    </w:p>
    <w:p w14:paraId="2C895FF2" w14:textId="77777777" w:rsidR="00A047B6" w:rsidRPr="00A047B6" w:rsidRDefault="00A047B6" w:rsidP="00A047B6">
      <w:pPr>
        <w:numPr>
          <w:ilvl w:val="0"/>
          <w:numId w:val="20"/>
        </w:numPr>
        <w:rPr>
          <w:rFonts w:ascii="Calibri" w:hAnsi="Calibri" w:cs="Calibri"/>
          <w:sz w:val="16"/>
          <w:szCs w:val="16"/>
        </w:rPr>
      </w:pPr>
      <w:r w:rsidRPr="00A047B6">
        <w:rPr>
          <w:rFonts w:ascii="Calibri" w:hAnsi="Calibri" w:cs="Calibri"/>
          <w:sz w:val="16"/>
          <w:szCs w:val="16"/>
        </w:rPr>
        <w:t>Infrastructure development supporting industrial expansion</w:t>
      </w:r>
    </w:p>
    <w:p w14:paraId="2D328927"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Technology and Engineering Sources</w:t>
      </w:r>
    </w:p>
    <w:p w14:paraId="06C46687"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European Bank for Reconstruction and Development (EBRD)</w:t>
      </w:r>
    </w:p>
    <w:p w14:paraId="379DF5DA" w14:textId="77777777" w:rsidR="00A047B6" w:rsidRPr="00A047B6" w:rsidRDefault="00A047B6" w:rsidP="00A047B6">
      <w:pPr>
        <w:numPr>
          <w:ilvl w:val="0"/>
          <w:numId w:val="21"/>
        </w:numPr>
        <w:rPr>
          <w:rFonts w:ascii="Calibri" w:hAnsi="Calibri" w:cs="Calibri"/>
          <w:sz w:val="16"/>
          <w:szCs w:val="16"/>
        </w:rPr>
      </w:pPr>
      <w:r w:rsidRPr="00A047B6">
        <w:rPr>
          <w:rFonts w:ascii="Calibri" w:hAnsi="Calibri" w:cs="Calibri"/>
          <w:sz w:val="16"/>
          <w:szCs w:val="16"/>
        </w:rPr>
        <w:t>Egyptian Fertilizers Company project financing documentation</w:t>
      </w:r>
    </w:p>
    <w:p w14:paraId="41ED7780" w14:textId="77777777" w:rsidR="00A047B6" w:rsidRPr="00A047B6" w:rsidRDefault="00A047B6" w:rsidP="00A047B6">
      <w:pPr>
        <w:numPr>
          <w:ilvl w:val="0"/>
          <w:numId w:val="21"/>
        </w:numPr>
        <w:rPr>
          <w:rFonts w:ascii="Calibri" w:hAnsi="Calibri" w:cs="Calibri"/>
          <w:sz w:val="16"/>
          <w:szCs w:val="16"/>
        </w:rPr>
      </w:pPr>
      <w:r w:rsidRPr="00A047B6">
        <w:rPr>
          <w:rFonts w:ascii="Calibri" w:hAnsi="Calibri" w:cs="Calibri"/>
          <w:sz w:val="16"/>
          <w:szCs w:val="16"/>
        </w:rPr>
        <w:t>Technical specifications and environmental standards</w:t>
      </w:r>
    </w:p>
    <w:p w14:paraId="4E0E3208" w14:textId="77777777" w:rsidR="00A047B6" w:rsidRPr="00A047B6" w:rsidRDefault="00A047B6" w:rsidP="00A047B6">
      <w:pPr>
        <w:numPr>
          <w:ilvl w:val="0"/>
          <w:numId w:val="21"/>
        </w:numPr>
        <w:rPr>
          <w:rFonts w:ascii="Calibri" w:hAnsi="Calibri" w:cs="Calibri"/>
          <w:sz w:val="16"/>
          <w:szCs w:val="16"/>
        </w:rPr>
      </w:pPr>
      <w:r w:rsidRPr="00A047B6">
        <w:rPr>
          <w:rFonts w:ascii="Calibri" w:hAnsi="Calibri" w:cs="Calibri"/>
          <w:sz w:val="16"/>
          <w:szCs w:val="16"/>
        </w:rPr>
        <w:t>Operational performance and technology assessment</w:t>
      </w:r>
    </w:p>
    <w:p w14:paraId="11A23028"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lastRenderedPageBreak/>
        <w:t>OPEC Fund for International Development</w:t>
      </w:r>
    </w:p>
    <w:p w14:paraId="161E1A71" w14:textId="77777777" w:rsidR="00A047B6" w:rsidRPr="00A047B6" w:rsidRDefault="00A047B6" w:rsidP="00A047B6">
      <w:pPr>
        <w:numPr>
          <w:ilvl w:val="0"/>
          <w:numId w:val="22"/>
        </w:numPr>
        <w:rPr>
          <w:rFonts w:ascii="Calibri" w:hAnsi="Calibri" w:cs="Calibri"/>
          <w:sz w:val="16"/>
          <w:szCs w:val="16"/>
        </w:rPr>
      </w:pPr>
      <w:r w:rsidRPr="00A047B6">
        <w:rPr>
          <w:rFonts w:ascii="Calibri" w:hAnsi="Calibri" w:cs="Calibri"/>
          <w:sz w:val="16"/>
          <w:szCs w:val="16"/>
        </w:rPr>
        <w:t>Egyptian Fertilizer Company expansion project details</w:t>
      </w:r>
    </w:p>
    <w:p w14:paraId="1BE92576" w14:textId="77777777" w:rsidR="00A047B6" w:rsidRPr="00A047B6" w:rsidRDefault="00A047B6" w:rsidP="00A047B6">
      <w:pPr>
        <w:numPr>
          <w:ilvl w:val="0"/>
          <w:numId w:val="22"/>
        </w:numPr>
        <w:rPr>
          <w:rFonts w:ascii="Calibri" w:hAnsi="Calibri" w:cs="Calibri"/>
          <w:sz w:val="16"/>
          <w:szCs w:val="16"/>
        </w:rPr>
      </w:pPr>
      <w:r w:rsidRPr="00A047B6">
        <w:rPr>
          <w:rFonts w:ascii="Calibri" w:hAnsi="Calibri" w:cs="Calibri"/>
          <w:sz w:val="16"/>
          <w:szCs w:val="16"/>
        </w:rPr>
        <w:t>Capacity expansion and modernization programs</w:t>
      </w:r>
    </w:p>
    <w:p w14:paraId="5A4EF37C"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Engineering and Construction Partners</w:t>
      </w:r>
    </w:p>
    <w:p w14:paraId="21DFD129" w14:textId="77777777" w:rsidR="00A047B6" w:rsidRPr="00A047B6" w:rsidRDefault="00A047B6" w:rsidP="00A047B6">
      <w:pPr>
        <w:numPr>
          <w:ilvl w:val="0"/>
          <w:numId w:val="23"/>
        </w:numPr>
        <w:rPr>
          <w:rFonts w:ascii="Calibri" w:hAnsi="Calibri" w:cs="Calibri"/>
          <w:sz w:val="16"/>
          <w:szCs w:val="16"/>
        </w:rPr>
      </w:pPr>
      <w:r w:rsidRPr="00A047B6">
        <w:rPr>
          <w:rFonts w:ascii="Calibri" w:hAnsi="Calibri" w:cs="Calibri"/>
          <w:sz w:val="16"/>
          <w:szCs w:val="16"/>
        </w:rPr>
        <w:t>KBR Advanced Ammonia Process (KAAP) technology specifications</w:t>
      </w:r>
    </w:p>
    <w:p w14:paraId="2267E810" w14:textId="77777777" w:rsidR="00A047B6" w:rsidRPr="00A047B6" w:rsidRDefault="00A047B6" w:rsidP="00A047B6">
      <w:pPr>
        <w:numPr>
          <w:ilvl w:val="0"/>
          <w:numId w:val="23"/>
        </w:numPr>
        <w:rPr>
          <w:rFonts w:ascii="Calibri" w:hAnsi="Calibri" w:cs="Calibri"/>
          <w:sz w:val="16"/>
          <w:szCs w:val="16"/>
        </w:rPr>
      </w:pPr>
      <w:r w:rsidRPr="00A047B6">
        <w:rPr>
          <w:rFonts w:ascii="Calibri" w:hAnsi="Calibri" w:cs="Calibri"/>
          <w:sz w:val="16"/>
          <w:szCs w:val="16"/>
        </w:rPr>
        <w:t>Uhde urea production technology implementation</w:t>
      </w:r>
    </w:p>
    <w:p w14:paraId="073E834F" w14:textId="77777777" w:rsidR="00A047B6" w:rsidRPr="00A047B6" w:rsidRDefault="00A047B6" w:rsidP="00A047B6">
      <w:pPr>
        <w:numPr>
          <w:ilvl w:val="0"/>
          <w:numId w:val="23"/>
        </w:numPr>
        <w:rPr>
          <w:rFonts w:ascii="Calibri" w:hAnsi="Calibri" w:cs="Calibri"/>
          <w:sz w:val="16"/>
          <w:szCs w:val="16"/>
        </w:rPr>
      </w:pPr>
      <w:proofErr w:type="spellStart"/>
      <w:r w:rsidRPr="00A047B6">
        <w:rPr>
          <w:rFonts w:ascii="Calibri" w:hAnsi="Calibri" w:cs="Calibri"/>
          <w:sz w:val="16"/>
          <w:szCs w:val="16"/>
        </w:rPr>
        <w:t>Prayon</w:t>
      </w:r>
      <w:proofErr w:type="spellEnd"/>
      <w:r w:rsidRPr="00A047B6">
        <w:rPr>
          <w:rFonts w:ascii="Calibri" w:hAnsi="Calibri" w:cs="Calibri"/>
          <w:sz w:val="16"/>
          <w:szCs w:val="16"/>
        </w:rPr>
        <w:t xml:space="preserve"> Technologies and K-Technologies phosphoric acid processes</w:t>
      </w:r>
    </w:p>
    <w:p w14:paraId="04402AD8"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Market Intelligence and Trading Sources</w:t>
      </w:r>
    </w:p>
    <w:p w14:paraId="2CB85C57" w14:textId="77777777" w:rsidR="00A047B6" w:rsidRPr="00A047B6" w:rsidRDefault="00A047B6" w:rsidP="00A047B6">
      <w:pPr>
        <w:rPr>
          <w:rFonts w:ascii="Calibri" w:hAnsi="Calibri" w:cs="Calibri"/>
          <w:sz w:val="16"/>
          <w:szCs w:val="16"/>
        </w:rPr>
      </w:pPr>
      <w:proofErr w:type="spellStart"/>
      <w:r w:rsidRPr="00A047B6">
        <w:rPr>
          <w:rFonts w:ascii="Calibri" w:hAnsi="Calibri" w:cs="Calibri"/>
          <w:sz w:val="16"/>
          <w:szCs w:val="16"/>
        </w:rPr>
        <w:t>Ameropa</w:t>
      </w:r>
      <w:proofErr w:type="spellEnd"/>
      <w:r w:rsidRPr="00A047B6">
        <w:rPr>
          <w:rFonts w:ascii="Calibri" w:hAnsi="Calibri" w:cs="Calibri"/>
          <w:sz w:val="16"/>
          <w:szCs w:val="16"/>
        </w:rPr>
        <w:t xml:space="preserve"> Trading Partnership</w:t>
      </w:r>
    </w:p>
    <w:p w14:paraId="37BB2E1A" w14:textId="77777777" w:rsidR="00A047B6" w:rsidRPr="00A047B6" w:rsidRDefault="00A047B6" w:rsidP="00A047B6">
      <w:pPr>
        <w:numPr>
          <w:ilvl w:val="0"/>
          <w:numId w:val="24"/>
        </w:numPr>
        <w:rPr>
          <w:rFonts w:ascii="Calibri" w:hAnsi="Calibri" w:cs="Calibri"/>
          <w:sz w:val="16"/>
          <w:szCs w:val="16"/>
        </w:rPr>
      </w:pPr>
      <w:r w:rsidRPr="00A047B6">
        <w:rPr>
          <w:rFonts w:ascii="Calibri" w:hAnsi="Calibri" w:cs="Calibri"/>
          <w:sz w:val="16"/>
          <w:szCs w:val="16"/>
        </w:rPr>
        <w:t>MISR fertilizer import data: 200,000 tons in 2023</w:t>
      </w:r>
    </w:p>
    <w:p w14:paraId="22E473A3" w14:textId="77777777" w:rsidR="00A047B6" w:rsidRPr="00A047B6" w:rsidRDefault="00A047B6" w:rsidP="00A047B6">
      <w:pPr>
        <w:numPr>
          <w:ilvl w:val="0"/>
          <w:numId w:val="24"/>
        </w:numPr>
        <w:rPr>
          <w:rFonts w:ascii="Calibri" w:hAnsi="Calibri" w:cs="Calibri"/>
          <w:sz w:val="16"/>
          <w:szCs w:val="16"/>
        </w:rPr>
      </w:pPr>
      <w:r w:rsidRPr="00A047B6">
        <w:rPr>
          <w:rFonts w:ascii="Calibri" w:hAnsi="Calibri" w:cs="Calibri"/>
          <w:sz w:val="16"/>
          <w:szCs w:val="16"/>
        </w:rPr>
        <w:t>US market penetration strategies and commercial relationships</w:t>
      </w:r>
    </w:p>
    <w:p w14:paraId="3135060A" w14:textId="77777777" w:rsidR="00A047B6" w:rsidRPr="00A047B6" w:rsidRDefault="00A047B6" w:rsidP="00A047B6">
      <w:pPr>
        <w:numPr>
          <w:ilvl w:val="0"/>
          <w:numId w:val="24"/>
        </w:numPr>
        <w:rPr>
          <w:rFonts w:ascii="Calibri" w:hAnsi="Calibri" w:cs="Calibri"/>
          <w:sz w:val="16"/>
          <w:szCs w:val="16"/>
        </w:rPr>
      </w:pPr>
      <w:r w:rsidRPr="00A047B6">
        <w:rPr>
          <w:rFonts w:ascii="Calibri" w:hAnsi="Calibri" w:cs="Calibri"/>
          <w:sz w:val="16"/>
          <w:szCs w:val="16"/>
        </w:rPr>
        <w:t>International trading company operations and market access</w:t>
      </w:r>
    </w:p>
    <w:p w14:paraId="5A356E98"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Egypt Oil &amp; Gas Magazine</w:t>
      </w:r>
    </w:p>
    <w:p w14:paraId="4EE0A991" w14:textId="77777777" w:rsidR="00A047B6" w:rsidRPr="00A047B6" w:rsidRDefault="00A047B6" w:rsidP="00A047B6">
      <w:pPr>
        <w:numPr>
          <w:ilvl w:val="0"/>
          <w:numId w:val="25"/>
        </w:numPr>
        <w:rPr>
          <w:rFonts w:ascii="Calibri" w:hAnsi="Calibri" w:cs="Calibri"/>
          <w:sz w:val="16"/>
          <w:szCs w:val="16"/>
        </w:rPr>
      </w:pPr>
      <w:r w:rsidRPr="00A047B6">
        <w:rPr>
          <w:rFonts w:ascii="Calibri" w:hAnsi="Calibri" w:cs="Calibri"/>
          <w:sz w:val="16"/>
          <w:szCs w:val="16"/>
        </w:rPr>
        <w:t>"The Rock Beneath the Rise: Phosphate Fuels Egypt's Industrial Ambitions"</w:t>
      </w:r>
    </w:p>
    <w:p w14:paraId="1BD5EC2E" w14:textId="77777777" w:rsidR="00A047B6" w:rsidRPr="00A047B6" w:rsidRDefault="00A047B6" w:rsidP="00A047B6">
      <w:pPr>
        <w:numPr>
          <w:ilvl w:val="0"/>
          <w:numId w:val="25"/>
        </w:numPr>
        <w:rPr>
          <w:rFonts w:ascii="Calibri" w:hAnsi="Calibri" w:cs="Calibri"/>
          <w:sz w:val="16"/>
          <w:szCs w:val="16"/>
        </w:rPr>
      </w:pPr>
      <w:r w:rsidRPr="00A047B6">
        <w:rPr>
          <w:rFonts w:ascii="Calibri" w:hAnsi="Calibri" w:cs="Calibri"/>
          <w:sz w:val="16"/>
          <w:szCs w:val="16"/>
        </w:rPr>
        <w:t>Comprehensive industry analysis and strategic outlook</w:t>
      </w:r>
    </w:p>
    <w:p w14:paraId="78D265A4" w14:textId="77777777" w:rsidR="00A047B6" w:rsidRPr="00A047B6" w:rsidRDefault="00A047B6" w:rsidP="00A047B6">
      <w:pPr>
        <w:numPr>
          <w:ilvl w:val="0"/>
          <w:numId w:val="25"/>
        </w:numPr>
        <w:rPr>
          <w:rFonts w:ascii="Calibri" w:hAnsi="Calibri" w:cs="Calibri"/>
          <w:sz w:val="16"/>
          <w:szCs w:val="16"/>
        </w:rPr>
      </w:pPr>
      <w:r w:rsidRPr="00A047B6">
        <w:rPr>
          <w:rFonts w:ascii="Calibri" w:hAnsi="Calibri" w:cs="Calibri"/>
          <w:sz w:val="16"/>
          <w:szCs w:val="16"/>
        </w:rPr>
        <w:t>Government policy and investment strategy coverage</w:t>
      </w:r>
    </w:p>
    <w:p w14:paraId="3A9248FA" w14:textId="77777777" w:rsidR="00A047B6" w:rsidRPr="00A047B6" w:rsidRDefault="00A047B6" w:rsidP="00A047B6">
      <w:pPr>
        <w:rPr>
          <w:rFonts w:ascii="Calibri" w:hAnsi="Calibri" w:cs="Calibri"/>
          <w:sz w:val="16"/>
          <w:szCs w:val="16"/>
        </w:rPr>
      </w:pPr>
      <w:proofErr w:type="spellStart"/>
      <w:r w:rsidRPr="00A047B6">
        <w:rPr>
          <w:rFonts w:ascii="Calibri" w:hAnsi="Calibri" w:cs="Calibri"/>
          <w:sz w:val="16"/>
          <w:szCs w:val="16"/>
        </w:rPr>
        <w:t>TechSci</w:t>
      </w:r>
      <w:proofErr w:type="spellEnd"/>
      <w:r w:rsidRPr="00A047B6">
        <w:rPr>
          <w:rFonts w:ascii="Calibri" w:hAnsi="Calibri" w:cs="Calibri"/>
          <w:sz w:val="16"/>
          <w:szCs w:val="16"/>
        </w:rPr>
        <w:t xml:space="preserve"> Research Market Reports</w:t>
      </w:r>
    </w:p>
    <w:p w14:paraId="1906772A" w14:textId="77777777" w:rsidR="00A047B6" w:rsidRPr="00A047B6" w:rsidRDefault="00A047B6" w:rsidP="00A047B6">
      <w:pPr>
        <w:numPr>
          <w:ilvl w:val="0"/>
          <w:numId w:val="26"/>
        </w:numPr>
        <w:rPr>
          <w:rFonts w:ascii="Calibri" w:hAnsi="Calibri" w:cs="Calibri"/>
          <w:sz w:val="16"/>
          <w:szCs w:val="16"/>
        </w:rPr>
      </w:pPr>
      <w:r w:rsidRPr="00A047B6">
        <w:rPr>
          <w:rFonts w:ascii="Calibri" w:hAnsi="Calibri" w:cs="Calibri"/>
          <w:sz w:val="16"/>
          <w:szCs w:val="16"/>
        </w:rPr>
        <w:t>Egypt Fertilizers Market forecasts and analysis</w:t>
      </w:r>
    </w:p>
    <w:p w14:paraId="28163FA8" w14:textId="77777777" w:rsidR="00A047B6" w:rsidRPr="00A047B6" w:rsidRDefault="00A047B6" w:rsidP="00A047B6">
      <w:pPr>
        <w:numPr>
          <w:ilvl w:val="0"/>
          <w:numId w:val="26"/>
        </w:numPr>
        <w:rPr>
          <w:rFonts w:ascii="Calibri" w:hAnsi="Calibri" w:cs="Calibri"/>
          <w:sz w:val="16"/>
          <w:szCs w:val="16"/>
        </w:rPr>
      </w:pPr>
      <w:r w:rsidRPr="00A047B6">
        <w:rPr>
          <w:rFonts w:ascii="Calibri" w:hAnsi="Calibri" w:cs="Calibri"/>
          <w:sz w:val="16"/>
          <w:szCs w:val="16"/>
        </w:rPr>
        <w:t>Market size projections: USD 34.26 million (2024) to USD 40.79 million (2030)</w:t>
      </w:r>
    </w:p>
    <w:p w14:paraId="7894C8C0"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Mobility Foresights</w:t>
      </w:r>
    </w:p>
    <w:p w14:paraId="7EE65AD8" w14:textId="77777777" w:rsidR="00A047B6" w:rsidRPr="00A047B6" w:rsidRDefault="00A047B6" w:rsidP="00A047B6">
      <w:pPr>
        <w:numPr>
          <w:ilvl w:val="0"/>
          <w:numId w:val="27"/>
        </w:numPr>
        <w:rPr>
          <w:rFonts w:ascii="Calibri" w:hAnsi="Calibri" w:cs="Calibri"/>
          <w:sz w:val="16"/>
          <w:szCs w:val="16"/>
        </w:rPr>
      </w:pPr>
      <w:r w:rsidRPr="00A047B6">
        <w:rPr>
          <w:rFonts w:ascii="Calibri" w:hAnsi="Calibri" w:cs="Calibri"/>
          <w:sz w:val="16"/>
          <w:szCs w:val="16"/>
        </w:rPr>
        <w:t>Egypt Fertilizer Market analysis 2024-2030</w:t>
      </w:r>
    </w:p>
    <w:p w14:paraId="6637FC4A" w14:textId="77777777" w:rsidR="00A047B6" w:rsidRPr="00A047B6" w:rsidRDefault="00A047B6" w:rsidP="00A047B6">
      <w:pPr>
        <w:numPr>
          <w:ilvl w:val="0"/>
          <w:numId w:val="27"/>
        </w:numPr>
        <w:rPr>
          <w:rFonts w:ascii="Calibri" w:hAnsi="Calibri" w:cs="Calibri"/>
          <w:sz w:val="16"/>
          <w:szCs w:val="16"/>
        </w:rPr>
      </w:pPr>
      <w:r w:rsidRPr="00A047B6">
        <w:rPr>
          <w:rFonts w:ascii="Calibri" w:hAnsi="Calibri" w:cs="Calibri"/>
          <w:sz w:val="16"/>
          <w:szCs w:val="16"/>
        </w:rPr>
        <w:t>Competitive landscape and growth driver analysis</w:t>
      </w:r>
    </w:p>
    <w:p w14:paraId="0CD68B69"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Statistical and Data Sources</w:t>
      </w:r>
    </w:p>
    <w:p w14:paraId="1DAEFD89"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BP Statistical Review of World Energy</w:t>
      </w:r>
    </w:p>
    <w:p w14:paraId="5D4121B2" w14:textId="77777777" w:rsidR="00A047B6" w:rsidRPr="00A047B6" w:rsidRDefault="00A047B6" w:rsidP="00A047B6">
      <w:pPr>
        <w:numPr>
          <w:ilvl w:val="0"/>
          <w:numId w:val="28"/>
        </w:numPr>
        <w:rPr>
          <w:rFonts w:ascii="Calibri" w:hAnsi="Calibri" w:cs="Calibri"/>
          <w:sz w:val="16"/>
          <w:szCs w:val="16"/>
        </w:rPr>
      </w:pPr>
      <w:r w:rsidRPr="00A047B6">
        <w:rPr>
          <w:rFonts w:ascii="Calibri" w:hAnsi="Calibri" w:cs="Calibri"/>
          <w:sz w:val="16"/>
          <w:szCs w:val="16"/>
        </w:rPr>
        <w:t>Natural gas production and reserve data</w:t>
      </w:r>
    </w:p>
    <w:p w14:paraId="26B69AF5" w14:textId="77777777" w:rsidR="00A047B6" w:rsidRPr="00A047B6" w:rsidRDefault="00A047B6" w:rsidP="00A047B6">
      <w:pPr>
        <w:numPr>
          <w:ilvl w:val="0"/>
          <w:numId w:val="28"/>
        </w:numPr>
        <w:rPr>
          <w:rFonts w:ascii="Calibri" w:hAnsi="Calibri" w:cs="Calibri"/>
          <w:sz w:val="16"/>
          <w:szCs w:val="16"/>
        </w:rPr>
      </w:pPr>
      <w:r w:rsidRPr="00A047B6">
        <w:rPr>
          <w:rFonts w:ascii="Calibri" w:hAnsi="Calibri" w:cs="Calibri"/>
          <w:sz w:val="16"/>
          <w:szCs w:val="16"/>
        </w:rPr>
        <w:t>Energy sector context for nitrogen fertilizer feedstock</w:t>
      </w:r>
    </w:p>
    <w:p w14:paraId="4663750E"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World Steel Association</w:t>
      </w:r>
    </w:p>
    <w:p w14:paraId="708E81EF" w14:textId="77777777" w:rsidR="00A047B6" w:rsidRPr="00A047B6" w:rsidRDefault="00A047B6" w:rsidP="00A047B6">
      <w:pPr>
        <w:numPr>
          <w:ilvl w:val="0"/>
          <w:numId w:val="29"/>
        </w:numPr>
        <w:rPr>
          <w:rFonts w:ascii="Calibri" w:hAnsi="Calibri" w:cs="Calibri"/>
          <w:sz w:val="16"/>
          <w:szCs w:val="16"/>
        </w:rPr>
      </w:pPr>
      <w:r w:rsidRPr="00A047B6">
        <w:rPr>
          <w:rFonts w:ascii="Calibri" w:hAnsi="Calibri" w:cs="Calibri"/>
          <w:sz w:val="16"/>
          <w:szCs w:val="16"/>
        </w:rPr>
        <w:t>Industrial minerals context and comparative data</w:t>
      </w:r>
    </w:p>
    <w:p w14:paraId="261BA496" w14:textId="77777777" w:rsidR="00A047B6" w:rsidRPr="00A047B6" w:rsidRDefault="00A047B6" w:rsidP="00A047B6">
      <w:pPr>
        <w:numPr>
          <w:ilvl w:val="0"/>
          <w:numId w:val="29"/>
        </w:numPr>
        <w:rPr>
          <w:rFonts w:ascii="Calibri" w:hAnsi="Calibri" w:cs="Calibri"/>
          <w:sz w:val="16"/>
          <w:szCs w:val="16"/>
        </w:rPr>
      </w:pPr>
      <w:r w:rsidRPr="00A047B6">
        <w:rPr>
          <w:rFonts w:ascii="Calibri" w:hAnsi="Calibri" w:cs="Calibri"/>
          <w:sz w:val="16"/>
          <w:szCs w:val="16"/>
        </w:rPr>
        <w:t>Egyptian steel industry integration with fertilizer sector</w:t>
      </w:r>
    </w:p>
    <w:p w14:paraId="0D85E497"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United Nations Statistics Division</w:t>
      </w:r>
    </w:p>
    <w:p w14:paraId="649F1D04" w14:textId="77777777" w:rsidR="00A047B6" w:rsidRPr="00A047B6" w:rsidRDefault="00A047B6" w:rsidP="00A047B6">
      <w:pPr>
        <w:numPr>
          <w:ilvl w:val="0"/>
          <w:numId w:val="30"/>
        </w:numPr>
        <w:rPr>
          <w:rFonts w:ascii="Calibri" w:hAnsi="Calibri" w:cs="Calibri"/>
          <w:sz w:val="16"/>
          <w:szCs w:val="16"/>
        </w:rPr>
      </w:pPr>
      <w:r w:rsidRPr="00A047B6">
        <w:rPr>
          <w:rFonts w:ascii="Calibri" w:hAnsi="Calibri" w:cs="Calibri"/>
          <w:sz w:val="16"/>
          <w:szCs w:val="16"/>
        </w:rPr>
        <w:t>International trade statistics and export performance</w:t>
      </w:r>
    </w:p>
    <w:p w14:paraId="47290A14" w14:textId="77777777" w:rsidR="00A047B6" w:rsidRPr="00A047B6" w:rsidRDefault="00A047B6" w:rsidP="00A047B6">
      <w:pPr>
        <w:numPr>
          <w:ilvl w:val="0"/>
          <w:numId w:val="30"/>
        </w:numPr>
        <w:rPr>
          <w:rFonts w:ascii="Calibri" w:hAnsi="Calibri" w:cs="Calibri"/>
          <w:sz w:val="16"/>
          <w:szCs w:val="16"/>
        </w:rPr>
      </w:pPr>
      <w:r w:rsidRPr="00A047B6">
        <w:rPr>
          <w:rFonts w:ascii="Calibri" w:hAnsi="Calibri" w:cs="Calibri"/>
          <w:sz w:val="16"/>
          <w:szCs w:val="16"/>
        </w:rPr>
        <w:lastRenderedPageBreak/>
        <w:t>Comparative global trade data and market positioning</w:t>
      </w:r>
    </w:p>
    <w:p w14:paraId="0C748320" w14:textId="77777777" w:rsidR="00A047B6" w:rsidRPr="00A047B6" w:rsidRDefault="00A047B6" w:rsidP="00A047B6">
      <w:pPr>
        <w:rPr>
          <w:rFonts w:ascii="Calibri" w:hAnsi="Calibri" w:cs="Calibri"/>
          <w:sz w:val="16"/>
          <w:szCs w:val="16"/>
        </w:rPr>
      </w:pPr>
      <w:proofErr w:type="spellStart"/>
      <w:r w:rsidRPr="00A047B6">
        <w:rPr>
          <w:rFonts w:ascii="Calibri" w:hAnsi="Calibri" w:cs="Calibri"/>
          <w:sz w:val="16"/>
          <w:szCs w:val="16"/>
        </w:rPr>
        <w:t>Midrex</w:t>
      </w:r>
      <w:proofErr w:type="spellEnd"/>
      <w:r w:rsidRPr="00A047B6">
        <w:rPr>
          <w:rFonts w:ascii="Calibri" w:hAnsi="Calibri" w:cs="Calibri"/>
          <w:sz w:val="16"/>
          <w:szCs w:val="16"/>
        </w:rPr>
        <w:t xml:space="preserve"> Technologies</w:t>
      </w:r>
    </w:p>
    <w:p w14:paraId="6CD71EA4" w14:textId="77777777" w:rsidR="00A047B6" w:rsidRPr="00A047B6" w:rsidRDefault="00A047B6" w:rsidP="00A047B6">
      <w:pPr>
        <w:numPr>
          <w:ilvl w:val="0"/>
          <w:numId w:val="31"/>
        </w:numPr>
        <w:rPr>
          <w:rFonts w:ascii="Calibri" w:hAnsi="Calibri" w:cs="Calibri"/>
          <w:sz w:val="16"/>
          <w:szCs w:val="16"/>
        </w:rPr>
      </w:pPr>
      <w:r w:rsidRPr="00A047B6">
        <w:rPr>
          <w:rFonts w:ascii="Calibri" w:hAnsi="Calibri" w:cs="Calibri"/>
          <w:sz w:val="16"/>
          <w:szCs w:val="16"/>
        </w:rPr>
        <w:t>Direct-reduced iron production statistics</w:t>
      </w:r>
    </w:p>
    <w:p w14:paraId="13BF6661" w14:textId="77777777" w:rsidR="00A047B6" w:rsidRPr="00A047B6" w:rsidRDefault="00A047B6" w:rsidP="00A047B6">
      <w:pPr>
        <w:numPr>
          <w:ilvl w:val="0"/>
          <w:numId w:val="31"/>
        </w:numPr>
        <w:rPr>
          <w:rFonts w:ascii="Calibri" w:hAnsi="Calibri" w:cs="Calibri"/>
          <w:sz w:val="16"/>
          <w:szCs w:val="16"/>
        </w:rPr>
      </w:pPr>
      <w:r w:rsidRPr="00A047B6">
        <w:rPr>
          <w:rFonts w:ascii="Calibri" w:hAnsi="Calibri" w:cs="Calibri"/>
          <w:sz w:val="16"/>
          <w:szCs w:val="16"/>
        </w:rPr>
        <w:t>Industrial sector integration and development context</w:t>
      </w:r>
    </w:p>
    <w:p w14:paraId="30C740D3"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News and Media Sources</w:t>
      </w:r>
    </w:p>
    <w:p w14:paraId="670EB139"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Thomson Reuters</w:t>
      </w:r>
    </w:p>
    <w:p w14:paraId="39B1B7FE" w14:textId="77777777" w:rsidR="00A047B6" w:rsidRPr="00A047B6" w:rsidRDefault="00A047B6" w:rsidP="00A047B6">
      <w:pPr>
        <w:numPr>
          <w:ilvl w:val="0"/>
          <w:numId w:val="32"/>
        </w:numPr>
        <w:rPr>
          <w:rFonts w:ascii="Calibri" w:hAnsi="Calibri" w:cs="Calibri"/>
          <w:sz w:val="16"/>
          <w:szCs w:val="16"/>
        </w:rPr>
      </w:pPr>
      <w:r w:rsidRPr="00A047B6">
        <w:rPr>
          <w:rFonts w:ascii="Calibri" w:hAnsi="Calibri" w:cs="Calibri"/>
          <w:sz w:val="16"/>
          <w:szCs w:val="16"/>
        </w:rPr>
        <w:t>Economic reform and policy development coverage</w:t>
      </w:r>
    </w:p>
    <w:p w14:paraId="71EC4E68" w14:textId="77777777" w:rsidR="00A047B6" w:rsidRPr="00A047B6" w:rsidRDefault="00A047B6" w:rsidP="00A047B6">
      <w:pPr>
        <w:numPr>
          <w:ilvl w:val="0"/>
          <w:numId w:val="32"/>
        </w:numPr>
        <w:rPr>
          <w:rFonts w:ascii="Calibri" w:hAnsi="Calibri" w:cs="Calibri"/>
          <w:sz w:val="16"/>
          <w:szCs w:val="16"/>
        </w:rPr>
      </w:pPr>
      <w:r w:rsidRPr="00A047B6">
        <w:rPr>
          <w:rFonts w:ascii="Calibri" w:hAnsi="Calibri" w:cs="Calibri"/>
          <w:sz w:val="16"/>
          <w:szCs w:val="16"/>
        </w:rPr>
        <w:t>Foreign investment and industrial development reporting</w:t>
      </w:r>
    </w:p>
    <w:p w14:paraId="1188E265"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Al Arabiya Business</w:t>
      </w:r>
    </w:p>
    <w:p w14:paraId="4B6204D9" w14:textId="77777777" w:rsidR="00A047B6" w:rsidRPr="00A047B6" w:rsidRDefault="00A047B6" w:rsidP="00A047B6">
      <w:pPr>
        <w:numPr>
          <w:ilvl w:val="0"/>
          <w:numId w:val="33"/>
        </w:numPr>
        <w:rPr>
          <w:rFonts w:ascii="Calibri" w:hAnsi="Calibri" w:cs="Calibri"/>
          <w:sz w:val="16"/>
          <w:szCs w:val="16"/>
        </w:rPr>
      </w:pPr>
      <w:r w:rsidRPr="00A047B6">
        <w:rPr>
          <w:rFonts w:ascii="Calibri" w:hAnsi="Calibri" w:cs="Calibri"/>
          <w:sz w:val="16"/>
          <w:szCs w:val="16"/>
        </w:rPr>
        <w:t xml:space="preserve">Abu </w:t>
      </w:r>
      <w:proofErr w:type="spellStart"/>
      <w:r w:rsidRPr="00A047B6">
        <w:rPr>
          <w:rFonts w:ascii="Calibri" w:hAnsi="Calibri" w:cs="Calibri"/>
          <w:sz w:val="16"/>
          <w:szCs w:val="16"/>
        </w:rPr>
        <w:t>Tartur</w:t>
      </w:r>
      <w:proofErr w:type="spellEnd"/>
      <w:r w:rsidRPr="00A047B6">
        <w:rPr>
          <w:rFonts w:ascii="Calibri" w:hAnsi="Calibri" w:cs="Calibri"/>
          <w:sz w:val="16"/>
          <w:szCs w:val="16"/>
        </w:rPr>
        <w:t xml:space="preserve"> consortium development and financing strategies</w:t>
      </w:r>
    </w:p>
    <w:p w14:paraId="0A60CF9A" w14:textId="77777777" w:rsidR="00A047B6" w:rsidRPr="00A047B6" w:rsidRDefault="00A047B6" w:rsidP="00A047B6">
      <w:pPr>
        <w:numPr>
          <w:ilvl w:val="0"/>
          <w:numId w:val="33"/>
        </w:numPr>
        <w:rPr>
          <w:rFonts w:ascii="Calibri" w:hAnsi="Calibri" w:cs="Calibri"/>
          <w:sz w:val="16"/>
          <w:szCs w:val="16"/>
        </w:rPr>
      </w:pPr>
      <w:r w:rsidRPr="00A047B6">
        <w:rPr>
          <w:rFonts w:ascii="Calibri" w:hAnsi="Calibri" w:cs="Calibri"/>
          <w:sz w:val="16"/>
          <w:szCs w:val="16"/>
        </w:rPr>
        <w:t>Regional business and investment climate analysis</w:t>
      </w:r>
    </w:p>
    <w:p w14:paraId="3F090775"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Zawya Business Intelligence</w:t>
      </w:r>
    </w:p>
    <w:p w14:paraId="586FFC67" w14:textId="77777777" w:rsidR="00A047B6" w:rsidRPr="00A047B6" w:rsidRDefault="00A047B6" w:rsidP="00A047B6">
      <w:pPr>
        <w:numPr>
          <w:ilvl w:val="0"/>
          <w:numId w:val="34"/>
        </w:numPr>
        <w:rPr>
          <w:rFonts w:ascii="Calibri" w:hAnsi="Calibri" w:cs="Calibri"/>
          <w:sz w:val="16"/>
          <w:szCs w:val="16"/>
        </w:rPr>
      </w:pPr>
      <w:r w:rsidRPr="00A047B6">
        <w:rPr>
          <w:rFonts w:ascii="Calibri" w:hAnsi="Calibri" w:cs="Calibri"/>
          <w:sz w:val="16"/>
          <w:szCs w:val="16"/>
        </w:rPr>
        <w:t>Middle East and North Africa fertilizer market coverage</w:t>
      </w:r>
    </w:p>
    <w:p w14:paraId="5B32E0A5" w14:textId="77777777" w:rsidR="00A047B6" w:rsidRPr="00A047B6" w:rsidRDefault="00A047B6" w:rsidP="00A047B6">
      <w:pPr>
        <w:numPr>
          <w:ilvl w:val="0"/>
          <w:numId w:val="34"/>
        </w:numPr>
        <w:rPr>
          <w:rFonts w:ascii="Calibri" w:hAnsi="Calibri" w:cs="Calibri"/>
          <w:sz w:val="16"/>
          <w:szCs w:val="16"/>
        </w:rPr>
      </w:pPr>
      <w:r w:rsidRPr="00A047B6">
        <w:rPr>
          <w:rFonts w:ascii="Calibri" w:hAnsi="Calibri" w:cs="Calibri"/>
          <w:sz w:val="16"/>
          <w:szCs w:val="16"/>
        </w:rPr>
        <w:t>Investment project announcements and analysis</w:t>
      </w:r>
    </w:p>
    <w:p w14:paraId="49E102FE"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t>Global Flow Control Industry Publications</w:t>
      </w:r>
    </w:p>
    <w:p w14:paraId="583C9713" w14:textId="77777777" w:rsidR="00A047B6" w:rsidRPr="00A047B6" w:rsidRDefault="00A047B6" w:rsidP="00A047B6">
      <w:pPr>
        <w:numPr>
          <w:ilvl w:val="0"/>
          <w:numId w:val="35"/>
        </w:numPr>
        <w:rPr>
          <w:rFonts w:ascii="Calibri" w:hAnsi="Calibri" w:cs="Calibri"/>
          <w:sz w:val="16"/>
          <w:szCs w:val="16"/>
        </w:rPr>
      </w:pPr>
      <w:r w:rsidRPr="00A047B6">
        <w:rPr>
          <w:rFonts w:ascii="Calibri" w:hAnsi="Calibri" w:cs="Calibri"/>
          <w:sz w:val="16"/>
          <w:szCs w:val="16"/>
        </w:rPr>
        <w:t>Technical and commercial analysis of fertilizer projects</w:t>
      </w:r>
    </w:p>
    <w:p w14:paraId="277C94B6" w14:textId="77777777" w:rsidR="00A047B6" w:rsidRPr="00A047B6" w:rsidRDefault="00A047B6" w:rsidP="00A047B6">
      <w:pPr>
        <w:numPr>
          <w:ilvl w:val="0"/>
          <w:numId w:val="35"/>
        </w:numPr>
        <w:rPr>
          <w:rFonts w:ascii="Calibri" w:hAnsi="Calibri" w:cs="Calibri"/>
          <w:sz w:val="16"/>
          <w:szCs w:val="16"/>
        </w:rPr>
      </w:pPr>
      <w:r w:rsidRPr="00A047B6">
        <w:rPr>
          <w:rFonts w:ascii="Calibri" w:hAnsi="Calibri" w:cs="Calibri"/>
          <w:sz w:val="16"/>
          <w:szCs w:val="16"/>
        </w:rPr>
        <w:t>Industry development trends and technology adoption</w:t>
      </w:r>
    </w:p>
    <w:p w14:paraId="7161D7AA" w14:textId="77777777" w:rsidR="00A047B6" w:rsidRPr="00A047B6" w:rsidRDefault="00A047B6" w:rsidP="00A047B6">
      <w:pPr>
        <w:rPr>
          <w:rFonts w:ascii="Calibri" w:hAnsi="Calibri" w:cs="Calibri"/>
          <w:sz w:val="16"/>
          <w:szCs w:val="16"/>
        </w:rPr>
      </w:pPr>
      <w:r w:rsidRPr="00A047B6">
        <w:rPr>
          <w:rFonts w:ascii="Calibri" w:hAnsi="Calibri" w:cs="Calibri"/>
          <w:sz w:val="16"/>
          <w:szCs w:val="16"/>
        </w:rPr>
        <w:pict w14:anchorId="5D28E06F">
          <v:rect id="_x0000_i1046" style="width:0;height:1.5pt" o:hralign="center" o:hrstd="t" o:hr="t" fillcolor="#a0a0a0" stroked="f"/>
        </w:pict>
      </w:r>
    </w:p>
    <w:p w14:paraId="519B94E2" w14:textId="77777777" w:rsidR="00A047B6" w:rsidRPr="00A047B6" w:rsidRDefault="00A047B6" w:rsidP="00A047B6">
      <w:pPr>
        <w:rPr>
          <w:rFonts w:ascii="Calibri" w:hAnsi="Calibri" w:cs="Calibri"/>
          <w:sz w:val="16"/>
          <w:szCs w:val="16"/>
        </w:rPr>
      </w:pPr>
      <w:r w:rsidRPr="00A047B6">
        <w:rPr>
          <w:rFonts w:ascii="Calibri" w:hAnsi="Calibri" w:cs="Calibri"/>
          <w:i/>
          <w:iCs/>
          <w:sz w:val="16"/>
          <w:szCs w:val="16"/>
        </w:rPr>
        <w:t>Research conducted through September 2025. All financial figures converted to USD using appropriate exchange rates where necessary. Production capacity and facility data verified through multiple sources where available.</w:t>
      </w:r>
    </w:p>
    <w:p w14:paraId="0DE858ED" w14:textId="77777777" w:rsidR="00E5462E" w:rsidRPr="0096209C" w:rsidRDefault="00E5462E" w:rsidP="00A047B6">
      <w:pPr>
        <w:rPr>
          <w:rFonts w:ascii="Calibri" w:hAnsi="Calibri" w:cs="Calibri"/>
          <w:sz w:val="16"/>
          <w:szCs w:val="16"/>
        </w:rPr>
      </w:pPr>
    </w:p>
    <w:sectPr w:rsidR="00E5462E" w:rsidRPr="009620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6C5"/>
    <w:multiLevelType w:val="multilevel"/>
    <w:tmpl w:val="BB3A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64775"/>
    <w:multiLevelType w:val="multilevel"/>
    <w:tmpl w:val="3868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11581"/>
    <w:multiLevelType w:val="multilevel"/>
    <w:tmpl w:val="75DA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A4C54"/>
    <w:multiLevelType w:val="multilevel"/>
    <w:tmpl w:val="1364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F6859"/>
    <w:multiLevelType w:val="multilevel"/>
    <w:tmpl w:val="E648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E5A6D"/>
    <w:multiLevelType w:val="multilevel"/>
    <w:tmpl w:val="99BC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35EF1"/>
    <w:multiLevelType w:val="multilevel"/>
    <w:tmpl w:val="02D2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43E6D"/>
    <w:multiLevelType w:val="multilevel"/>
    <w:tmpl w:val="2E2E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B01C7"/>
    <w:multiLevelType w:val="multilevel"/>
    <w:tmpl w:val="D144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F7917"/>
    <w:multiLevelType w:val="multilevel"/>
    <w:tmpl w:val="9596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63E98"/>
    <w:multiLevelType w:val="multilevel"/>
    <w:tmpl w:val="0740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C2AF2"/>
    <w:multiLevelType w:val="multilevel"/>
    <w:tmpl w:val="5D8C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52D26"/>
    <w:multiLevelType w:val="multilevel"/>
    <w:tmpl w:val="A36C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919C1"/>
    <w:multiLevelType w:val="multilevel"/>
    <w:tmpl w:val="89FC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F37669"/>
    <w:multiLevelType w:val="multilevel"/>
    <w:tmpl w:val="C9C2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1D4261"/>
    <w:multiLevelType w:val="multilevel"/>
    <w:tmpl w:val="6A74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D3112"/>
    <w:multiLevelType w:val="multilevel"/>
    <w:tmpl w:val="7154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570C94"/>
    <w:multiLevelType w:val="multilevel"/>
    <w:tmpl w:val="5AFE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4C5C6A"/>
    <w:multiLevelType w:val="multilevel"/>
    <w:tmpl w:val="1FE4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5C239F"/>
    <w:multiLevelType w:val="multilevel"/>
    <w:tmpl w:val="9A06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0B15AC"/>
    <w:multiLevelType w:val="multilevel"/>
    <w:tmpl w:val="2242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762F3E"/>
    <w:multiLevelType w:val="multilevel"/>
    <w:tmpl w:val="1970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4707C3"/>
    <w:multiLevelType w:val="multilevel"/>
    <w:tmpl w:val="D93C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5C38FF"/>
    <w:multiLevelType w:val="multilevel"/>
    <w:tmpl w:val="993A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387648"/>
    <w:multiLevelType w:val="multilevel"/>
    <w:tmpl w:val="EBD8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E44498"/>
    <w:multiLevelType w:val="multilevel"/>
    <w:tmpl w:val="598C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C75EAA"/>
    <w:multiLevelType w:val="multilevel"/>
    <w:tmpl w:val="B294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FC1498"/>
    <w:multiLevelType w:val="multilevel"/>
    <w:tmpl w:val="6188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74043A"/>
    <w:multiLevelType w:val="multilevel"/>
    <w:tmpl w:val="849A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311B37"/>
    <w:multiLevelType w:val="multilevel"/>
    <w:tmpl w:val="6222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886D54"/>
    <w:multiLevelType w:val="multilevel"/>
    <w:tmpl w:val="10B2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1A0528"/>
    <w:multiLevelType w:val="multilevel"/>
    <w:tmpl w:val="D874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B111ED"/>
    <w:multiLevelType w:val="multilevel"/>
    <w:tmpl w:val="E522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F70E24"/>
    <w:multiLevelType w:val="multilevel"/>
    <w:tmpl w:val="78C6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F91B74"/>
    <w:multiLevelType w:val="multilevel"/>
    <w:tmpl w:val="D62A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649893">
    <w:abstractNumId w:val="28"/>
  </w:num>
  <w:num w:numId="2" w16cid:durableId="1983193599">
    <w:abstractNumId w:val="13"/>
  </w:num>
  <w:num w:numId="3" w16cid:durableId="109321206">
    <w:abstractNumId w:val="29"/>
  </w:num>
  <w:num w:numId="4" w16cid:durableId="1321617045">
    <w:abstractNumId w:val="26"/>
  </w:num>
  <w:num w:numId="5" w16cid:durableId="565530129">
    <w:abstractNumId w:val="0"/>
  </w:num>
  <w:num w:numId="6" w16cid:durableId="59255172">
    <w:abstractNumId w:val="10"/>
  </w:num>
  <w:num w:numId="7" w16cid:durableId="864027655">
    <w:abstractNumId w:val="32"/>
  </w:num>
  <w:num w:numId="8" w16cid:durableId="2097749769">
    <w:abstractNumId w:val="14"/>
  </w:num>
  <w:num w:numId="9" w16cid:durableId="1699507996">
    <w:abstractNumId w:val="20"/>
  </w:num>
  <w:num w:numId="10" w16cid:durableId="1613397910">
    <w:abstractNumId w:val="22"/>
  </w:num>
  <w:num w:numId="11" w16cid:durableId="553662353">
    <w:abstractNumId w:val="33"/>
  </w:num>
  <w:num w:numId="12" w16cid:durableId="1382482766">
    <w:abstractNumId w:val="30"/>
  </w:num>
  <w:num w:numId="13" w16cid:durableId="594019742">
    <w:abstractNumId w:val="27"/>
  </w:num>
  <w:num w:numId="14" w16cid:durableId="938298350">
    <w:abstractNumId w:val="18"/>
  </w:num>
  <w:num w:numId="15" w16cid:durableId="1428424550">
    <w:abstractNumId w:val="8"/>
  </w:num>
  <w:num w:numId="16" w16cid:durableId="545339837">
    <w:abstractNumId w:val="2"/>
  </w:num>
  <w:num w:numId="17" w16cid:durableId="2065180972">
    <w:abstractNumId w:val="17"/>
  </w:num>
  <w:num w:numId="18" w16cid:durableId="1252351446">
    <w:abstractNumId w:val="19"/>
  </w:num>
  <w:num w:numId="19" w16cid:durableId="1202548282">
    <w:abstractNumId w:val="6"/>
  </w:num>
  <w:num w:numId="20" w16cid:durableId="1473252346">
    <w:abstractNumId w:val="34"/>
  </w:num>
  <w:num w:numId="21" w16cid:durableId="1513186788">
    <w:abstractNumId w:val="11"/>
  </w:num>
  <w:num w:numId="22" w16cid:durableId="1620524719">
    <w:abstractNumId w:val="16"/>
  </w:num>
  <w:num w:numId="23" w16cid:durableId="1510214576">
    <w:abstractNumId w:val="31"/>
  </w:num>
  <w:num w:numId="24" w16cid:durableId="1381317296">
    <w:abstractNumId w:val="3"/>
  </w:num>
  <w:num w:numId="25" w16cid:durableId="728306886">
    <w:abstractNumId w:val="15"/>
  </w:num>
  <w:num w:numId="26" w16cid:durableId="756902559">
    <w:abstractNumId w:val="5"/>
  </w:num>
  <w:num w:numId="27" w16cid:durableId="576011724">
    <w:abstractNumId w:val="12"/>
  </w:num>
  <w:num w:numId="28" w16cid:durableId="666055161">
    <w:abstractNumId w:val="4"/>
  </w:num>
  <w:num w:numId="29" w16cid:durableId="958145298">
    <w:abstractNumId w:val="21"/>
  </w:num>
  <w:num w:numId="30" w16cid:durableId="1083139911">
    <w:abstractNumId w:val="9"/>
  </w:num>
  <w:num w:numId="31" w16cid:durableId="1142580697">
    <w:abstractNumId w:val="25"/>
  </w:num>
  <w:num w:numId="32" w16cid:durableId="1740010747">
    <w:abstractNumId w:val="1"/>
  </w:num>
  <w:num w:numId="33" w16cid:durableId="1350833885">
    <w:abstractNumId w:val="7"/>
  </w:num>
  <w:num w:numId="34" w16cid:durableId="1739553685">
    <w:abstractNumId w:val="23"/>
  </w:num>
  <w:num w:numId="35" w16cid:durableId="61324553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7B6"/>
    <w:rsid w:val="002010AF"/>
    <w:rsid w:val="0096209C"/>
    <w:rsid w:val="00A047B6"/>
    <w:rsid w:val="00E50623"/>
    <w:rsid w:val="00E54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56A0B"/>
  <w15:chartTrackingRefBased/>
  <w15:docId w15:val="{9F934352-922B-4FA0-BA69-B7390C3B0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7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7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7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7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7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7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7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7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7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7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7B6"/>
    <w:rPr>
      <w:rFonts w:eastAsiaTheme="majorEastAsia" w:cstheme="majorBidi"/>
      <w:color w:val="272727" w:themeColor="text1" w:themeTint="D8"/>
    </w:rPr>
  </w:style>
  <w:style w:type="paragraph" w:styleId="Title">
    <w:name w:val="Title"/>
    <w:basedOn w:val="Normal"/>
    <w:next w:val="Normal"/>
    <w:link w:val="TitleChar"/>
    <w:uiPriority w:val="10"/>
    <w:qFormat/>
    <w:rsid w:val="00A04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7B6"/>
    <w:pPr>
      <w:spacing w:before="160"/>
      <w:jc w:val="center"/>
    </w:pPr>
    <w:rPr>
      <w:i/>
      <w:iCs/>
      <w:color w:val="404040" w:themeColor="text1" w:themeTint="BF"/>
    </w:rPr>
  </w:style>
  <w:style w:type="character" w:customStyle="1" w:styleId="QuoteChar">
    <w:name w:val="Quote Char"/>
    <w:basedOn w:val="DefaultParagraphFont"/>
    <w:link w:val="Quote"/>
    <w:uiPriority w:val="29"/>
    <w:rsid w:val="00A047B6"/>
    <w:rPr>
      <w:i/>
      <w:iCs/>
      <w:color w:val="404040" w:themeColor="text1" w:themeTint="BF"/>
    </w:rPr>
  </w:style>
  <w:style w:type="paragraph" w:styleId="ListParagraph">
    <w:name w:val="List Paragraph"/>
    <w:basedOn w:val="Normal"/>
    <w:uiPriority w:val="34"/>
    <w:qFormat/>
    <w:rsid w:val="00A047B6"/>
    <w:pPr>
      <w:ind w:left="720"/>
      <w:contextualSpacing/>
    </w:pPr>
  </w:style>
  <w:style w:type="character" w:styleId="IntenseEmphasis">
    <w:name w:val="Intense Emphasis"/>
    <w:basedOn w:val="DefaultParagraphFont"/>
    <w:uiPriority w:val="21"/>
    <w:qFormat/>
    <w:rsid w:val="00A047B6"/>
    <w:rPr>
      <w:i/>
      <w:iCs/>
      <w:color w:val="0F4761" w:themeColor="accent1" w:themeShade="BF"/>
    </w:rPr>
  </w:style>
  <w:style w:type="paragraph" w:styleId="IntenseQuote">
    <w:name w:val="Intense Quote"/>
    <w:basedOn w:val="Normal"/>
    <w:next w:val="Normal"/>
    <w:link w:val="IntenseQuoteChar"/>
    <w:uiPriority w:val="30"/>
    <w:qFormat/>
    <w:rsid w:val="00A047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7B6"/>
    <w:rPr>
      <w:i/>
      <w:iCs/>
      <w:color w:val="0F4761" w:themeColor="accent1" w:themeShade="BF"/>
    </w:rPr>
  </w:style>
  <w:style w:type="character" w:styleId="IntenseReference">
    <w:name w:val="Intense Reference"/>
    <w:basedOn w:val="DefaultParagraphFont"/>
    <w:uiPriority w:val="32"/>
    <w:qFormat/>
    <w:rsid w:val="00A047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Application/>
  <Company/>
  <TotalTime>0</TotalTime>
  <LinksUpToDate>false</LinksUpToDate>
  <SharedDoc>false</SharedDoc>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oreProperties>
</file>