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2F5EF2">
      <w:pPr>
        <w:spacing w:line="276" w:lineRule="auto"/>
        <w:rPr>
          <w:rFonts w:ascii="Times New Roman" w:hAnsi="Times New Roman" w:eastAsia="Times New Roman" w:cs="Times New Roman"/>
          <w:b w:val="0"/>
          <w:bCs w:val="0"/>
          <w:sz w:val="28"/>
          <w:szCs w:val="28"/>
        </w:rPr>
      </w:pPr>
      <w:r>
        <w:rPr>
          <w:rFonts w:ascii="Bookman Old Style" w:hAnsi="Bookman Old Style"/>
          <w:b/>
          <w:bCs/>
          <w:sz w:val="40"/>
          <w:szCs w:val="40"/>
        </w:rPr>
        <w:t xml:space="preserve">Chapter 1 – Introduction </w:t>
      </w:r>
    </w:p>
    <w:p w14:paraId="3A7107DF">
      <w:pPr>
        <w:spacing w:line="480" w:lineRule="auto"/>
        <w:rPr>
          <w:rFonts w:ascii="Bookman Old Style" w:hAnsi="Bookman Old Style"/>
          <w:b/>
          <w:bCs/>
          <w:sz w:val="28"/>
          <w:szCs w:val="28"/>
        </w:rPr>
      </w:pPr>
      <w:r>
        <w:rPr>
          <w:rFonts w:ascii="Bookman Old Style" w:hAnsi="Bookman Old Style"/>
          <w:b/>
          <w:bCs/>
          <w:sz w:val="28"/>
          <w:szCs w:val="28"/>
        </w:rPr>
        <w:t xml:space="preserve">1.1   Introduction:  </w:t>
      </w:r>
    </w:p>
    <w:p w14:paraId="3E4D0581">
      <w:pPr>
        <w:spacing w:after="200" w:line="480" w:lineRule="auto"/>
        <w:ind w:left="0" w:firstLine="0"/>
        <w:jc w:val="both"/>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In early 2020, COVID-19 was declared a global pandemic, affecting all demographics and necessitating large-scale public health responses. Through data analysis, we can gain critical insights into COVID-19’s impact across different age and gender groups, which can support informed decision-making for resource allocation and policy development. Using a Shiny dashboard, this study visualizes mortality trends and survival analysis, providing an interactive tool for users to explore age and gender differences in COVID-19 outcomes.</w:t>
      </w:r>
    </w:p>
    <w:p w14:paraId="1AD53E4E">
      <w:pPr>
        <w:spacing w:after="200" w:line="480" w:lineRule="auto"/>
        <w:ind w:left="0" w:firstLine="0"/>
        <w:jc w:val="both"/>
        <w:rPr>
          <w:rFonts w:ascii="Times New Roman" w:hAnsi="Times New Roman" w:eastAsia="Times New Roman" w:cs="Times New Roman"/>
          <w:b w:val="0"/>
          <w:bCs w:val="0"/>
          <w:sz w:val="28"/>
          <w:szCs w:val="28"/>
        </w:rPr>
      </w:pPr>
    </w:p>
    <w:p w14:paraId="1D87F7F5">
      <w:pPr>
        <w:pStyle w:val="14"/>
        <w:numPr>
          <w:ilvl w:val="1"/>
          <w:numId w:val="1"/>
        </w:numPr>
        <w:spacing w:after="200" w:line="480" w:lineRule="auto"/>
        <w:jc w:val="both"/>
        <w:rPr>
          <w:rFonts w:ascii="Bookman Old Style" w:hAnsi="Bookman Old Style"/>
          <w:b/>
          <w:bCs/>
          <w:sz w:val="28"/>
          <w:szCs w:val="28"/>
        </w:rPr>
      </w:pPr>
      <w:r>
        <w:rPr>
          <w:rFonts w:ascii="Bookman Old Style" w:hAnsi="Bookman Old Style"/>
          <w:b/>
          <w:bCs/>
          <w:sz w:val="28"/>
          <w:szCs w:val="28"/>
        </w:rPr>
        <w:t>Objective:</w:t>
      </w:r>
    </w:p>
    <w:p w14:paraId="134A0ADD">
      <w:pPr>
        <w:spacing w:before="240" w:beforeAutospacing="0" w:after="24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This study aims to:</w:t>
      </w:r>
    </w:p>
    <w:p w14:paraId="46E0F89D">
      <w:pPr>
        <w:pStyle w:val="14"/>
        <w:numPr>
          <w:ilvl w:val="0"/>
          <w:numId w:val="2"/>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Determine mortality rates across age groups and genders.</w:t>
      </w:r>
    </w:p>
    <w:p w14:paraId="3D8C820C">
      <w:pPr>
        <w:pStyle w:val="14"/>
        <w:numPr>
          <w:ilvl w:val="0"/>
          <w:numId w:val="2"/>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Examine the relationship between age and gender with COVID-19 fatality.</w:t>
      </w:r>
    </w:p>
    <w:p w14:paraId="40364547">
      <w:pPr>
        <w:pStyle w:val="14"/>
        <w:numPr>
          <w:ilvl w:val="0"/>
          <w:numId w:val="2"/>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Utilize Cox regression for survival analysis to model factors influencing COVID-19 mortality.</w:t>
      </w:r>
    </w:p>
    <w:p w14:paraId="43929B66">
      <w:pPr>
        <w:pStyle w:val="14"/>
        <w:spacing w:before="0" w:beforeAutospacing="0" w:after="0" w:afterAutospacing="0" w:line="480" w:lineRule="auto"/>
        <w:ind w:left="720"/>
        <w:jc w:val="both"/>
        <w:rPr>
          <w:rFonts w:ascii="Times New Roman" w:hAnsi="Times New Roman" w:eastAsia="Times New Roman" w:cs="Times New Roman"/>
          <w:sz w:val="28"/>
          <w:szCs w:val="28"/>
          <w:lang w:val="en-IN"/>
        </w:rPr>
      </w:pPr>
    </w:p>
    <w:p w14:paraId="2ADBBB2E">
      <w:pPr>
        <w:pStyle w:val="14"/>
        <w:numPr>
          <w:ilvl w:val="1"/>
          <w:numId w:val="1"/>
        </w:numPr>
        <w:spacing w:after="200" w:line="480" w:lineRule="auto"/>
        <w:jc w:val="both"/>
        <w:rPr>
          <w:rFonts w:ascii="Bookman Old Style" w:hAnsi="Bookman Old Style"/>
          <w:b/>
          <w:bCs/>
          <w:sz w:val="28"/>
          <w:szCs w:val="28"/>
        </w:rPr>
      </w:pPr>
      <w:r>
        <w:rPr>
          <w:rFonts w:ascii="Bookman Old Style" w:hAnsi="Bookman Old Style"/>
          <w:b/>
          <w:bCs/>
          <w:sz w:val="28"/>
          <w:szCs w:val="28"/>
        </w:rPr>
        <w:t xml:space="preserve">Novel Idea: </w:t>
      </w:r>
    </w:p>
    <w:p w14:paraId="67BCF8F8">
      <w:pPr>
        <w:spacing w:after="200" w:line="480" w:lineRule="auto"/>
        <w:ind w:left="0" w:firstLine="0"/>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Unlike static reports, this interactive Shiny dashboard allows users to explore the COVID-19 data by adjusting filters for age range and gender, yielding tailored insights into mortality patterns. Furthermore, integrating survival analysis and exploratory data analysis (EDA) in real time enhances user engagement.</w:t>
      </w:r>
    </w:p>
    <w:p w14:paraId="6AFC17CD">
      <w:pPr>
        <w:pStyle w:val="14"/>
        <w:spacing w:after="200" w:line="480" w:lineRule="auto"/>
        <w:ind w:left="720"/>
        <w:jc w:val="both"/>
        <w:rPr>
          <w:rFonts w:ascii="Bookman Old Style" w:hAnsi="Bookman Old Style"/>
          <w:b/>
          <w:bCs/>
          <w:sz w:val="28"/>
          <w:szCs w:val="28"/>
        </w:rPr>
      </w:pPr>
    </w:p>
    <w:p w14:paraId="6B19DD40">
      <w:pPr>
        <w:pStyle w:val="14"/>
        <w:numPr>
          <w:ilvl w:val="1"/>
          <w:numId w:val="1"/>
        </w:numPr>
        <w:spacing w:after="200" w:line="480" w:lineRule="auto"/>
        <w:jc w:val="both"/>
        <w:rPr>
          <w:rFonts w:ascii="Bookman Old Style" w:hAnsi="Bookman Old Style"/>
          <w:b/>
          <w:bCs/>
          <w:sz w:val="28"/>
          <w:szCs w:val="28"/>
        </w:rPr>
      </w:pPr>
      <w:r>
        <w:rPr>
          <w:rFonts w:ascii="Bookman Old Style" w:hAnsi="Bookman Old Style"/>
          <w:b/>
          <w:bCs/>
          <w:sz w:val="28"/>
          <w:szCs w:val="28"/>
        </w:rPr>
        <w:t>Significance:</w:t>
      </w:r>
    </w:p>
    <w:p w14:paraId="695E8B7B">
      <w:pPr>
        <w:spacing w:line="48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rPr>
        <w:t>This study is distinct because it leverages a Shiny dashboard to enable user-driven exploration of COVID-19 data. Unlike static reports, our dashboard allows users to filter data by age and gender, viewing mortality and survival trends interactive</w:t>
      </w:r>
      <w:r>
        <w:rPr>
          <w:rFonts w:hint="default" w:ascii="Times New Roman" w:hAnsi="Times New Roman" w:eastAsia="Times New Roman" w:cs="Times New Roman"/>
          <w:sz w:val="28"/>
          <w:szCs w:val="28"/>
          <w:lang w:val="en-IN"/>
        </w:rPr>
        <w:t>l</w:t>
      </w:r>
      <w:r>
        <w:rPr>
          <w:rFonts w:ascii="Times New Roman" w:hAnsi="Times New Roman" w:eastAsia="Times New Roman" w:cs="Times New Roman"/>
          <w:sz w:val="28"/>
          <w:szCs w:val="28"/>
          <w:lang w:val="en-IN"/>
        </w:rPr>
        <w:t>y. For healthcare professionals and policymakers, this flexible and detailed view of COVID-19 fatalities enhances understanding, helping prioritize interventions.</w:t>
      </w:r>
    </w:p>
    <w:p w14:paraId="76CE628D">
      <w:pPr>
        <w:spacing w:line="480" w:lineRule="auto"/>
        <w:ind w:left="0"/>
        <w:jc w:val="both"/>
        <w:rPr>
          <w:rFonts w:ascii="Bookman Old Style" w:hAnsi="Bookman Old Style"/>
        </w:rPr>
      </w:pPr>
    </w:p>
    <w:p w14:paraId="5E21510E">
      <w:pPr>
        <w:spacing w:line="480" w:lineRule="auto"/>
        <w:jc w:val="both"/>
        <w:rPr>
          <w:rFonts w:ascii="Bookman Old Style" w:hAnsi="Bookman Old Style"/>
          <w:b/>
          <w:bCs/>
          <w:sz w:val="40"/>
          <w:szCs w:val="40"/>
        </w:rPr>
      </w:pPr>
      <w:r>
        <w:rPr>
          <w:rFonts w:ascii="Bookman Old Style" w:hAnsi="Bookman Old Style"/>
          <w:b/>
          <w:bCs/>
          <w:sz w:val="40"/>
          <w:szCs w:val="40"/>
        </w:rPr>
        <w:t>Chapter 2 – Methodology</w:t>
      </w:r>
    </w:p>
    <w:p w14:paraId="26B0B6F8">
      <w:pPr>
        <w:spacing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The study employs ARIMA modeling to predict mortality rate trends. ARIMA, a time-series forecasting model, is ideal for analyzing patterns and predicting future trends based on historical mortality rates.</w:t>
      </w:r>
    </w:p>
    <w:p w14:paraId="27C46D9A">
      <w:pPr>
        <w:spacing w:after="200" w:line="480" w:lineRule="auto"/>
        <w:jc w:val="both"/>
        <w:rPr>
          <w:rFonts w:ascii="Bookman Old Style" w:hAnsi="Bookman Old Style"/>
          <w:b/>
          <w:bCs/>
          <w:sz w:val="28"/>
          <w:szCs w:val="28"/>
        </w:rPr>
      </w:pPr>
    </w:p>
    <w:p w14:paraId="4CC90407">
      <w:pPr>
        <w:spacing w:after="200" w:line="480" w:lineRule="auto"/>
        <w:jc w:val="both"/>
        <w:rPr>
          <w:rFonts w:ascii="Bookman Old Style" w:hAnsi="Bookman Old Style"/>
          <w:b/>
          <w:bCs/>
          <w:sz w:val="28"/>
          <w:szCs w:val="28"/>
        </w:rPr>
      </w:pPr>
      <w:r>
        <w:rPr>
          <w:rFonts w:ascii="Bookman Old Style" w:hAnsi="Bookman Old Style"/>
          <w:b/>
          <w:bCs/>
          <w:sz w:val="28"/>
          <w:szCs w:val="28"/>
        </w:rPr>
        <w:t>2.1 Dataset Overview:</w:t>
      </w:r>
    </w:p>
    <w:p w14:paraId="1A4898B2">
      <w:pPr>
        <w:spacing w:before="240" w:beforeAutospacing="0" w:after="240" w:afterAutospacing="0" w:line="480" w:lineRule="auto"/>
        <w:jc w:val="both"/>
      </w:pPr>
      <w:r>
        <w:rPr>
          <w:rFonts w:ascii="Times New Roman" w:hAnsi="Times New Roman" w:eastAsia="Times New Roman" w:cs="Times New Roman"/>
          <w:sz w:val="28"/>
          <w:szCs w:val="28"/>
          <w:lang w:val="en-IN"/>
        </w:rPr>
        <w:t xml:space="preserve">Our dataset, </w:t>
      </w:r>
      <w:r>
        <w:rPr>
          <w:rFonts w:ascii="Consolas" w:hAnsi="Consolas" w:eastAsia="Consolas" w:cs="Consolas"/>
          <w:sz w:val="28"/>
          <w:szCs w:val="28"/>
          <w:lang w:val="en-IN"/>
        </w:rPr>
        <w:t>COVID19_line_list_data_Industry Assignment 1.csv</w:t>
      </w:r>
      <w:r>
        <w:rPr>
          <w:rFonts w:ascii="Times New Roman" w:hAnsi="Times New Roman" w:eastAsia="Times New Roman" w:cs="Times New Roman"/>
          <w:sz w:val="28"/>
          <w:szCs w:val="28"/>
          <w:lang w:val="en-IN"/>
        </w:rPr>
        <w:t xml:space="preserve">, contains variables such as </w:t>
      </w:r>
      <w:r>
        <w:rPr>
          <w:rFonts w:ascii="Consolas" w:hAnsi="Consolas" w:eastAsia="Consolas" w:cs="Consolas"/>
          <w:sz w:val="28"/>
          <w:szCs w:val="28"/>
          <w:lang w:val="en-IN"/>
        </w:rPr>
        <w:t>age</w:t>
      </w:r>
      <w:r>
        <w:rPr>
          <w:rFonts w:ascii="Times New Roman" w:hAnsi="Times New Roman" w:eastAsia="Times New Roman" w:cs="Times New Roman"/>
          <w:sz w:val="28"/>
          <w:szCs w:val="28"/>
          <w:lang w:val="en-IN"/>
        </w:rPr>
        <w:t xml:space="preserve">, </w:t>
      </w:r>
      <w:r>
        <w:rPr>
          <w:rFonts w:ascii="Consolas" w:hAnsi="Consolas" w:eastAsia="Consolas" w:cs="Consolas"/>
          <w:sz w:val="28"/>
          <w:szCs w:val="28"/>
          <w:lang w:val="en-IN"/>
        </w:rPr>
        <w:t>gender</w:t>
      </w:r>
      <w:r>
        <w:rPr>
          <w:rFonts w:ascii="Times New Roman" w:hAnsi="Times New Roman" w:eastAsia="Times New Roman" w:cs="Times New Roman"/>
          <w:sz w:val="28"/>
          <w:szCs w:val="28"/>
          <w:lang w:val="en-IN"/>
        </w:rPr>
        <w:t xml:space="preserve">, </w:t>
      </w:r>
      <w:r>
        <w:rPr>
          <w:rFonts w:ascii="Consolas" w:hAnsi="Consolas" w:eastAsia="Consolas" w:cs="Consolas"/>
          <w:sz w:val="28"/>
          <w:szCs w:val="28"/>
          <w:lang w:val="en-IN"/>
        </w:rPr>
        <w:t>reporting_date</w:t>
      </w:r>
      <w:r>
        <w:rPr>
          <w:rFonts w:ascii="Times New Roman" w:hAnsi="Times New Roman" w:eastAsia="Times New Roman" w:cs="Times New Roman"/>
          <w:sz w:val="28"/>
          <w:szCs w:val="28"/>
          <w:lang w:val="en-IN"/>
        </w:rPr>
        <w:t xml:space="preserve">, and </w:t>
      </w:r>
      <w:r>
        <w:rPr>
          <w:rFonts w:ascii="Consolas" w:hAnsi="Consolas" w:eastAsia="Consolas" w:cs="Consolas"/>
          <w:sz w:val="28"/>
          <w:szCs w:val="28"/>
          <w:lang w:val="en-IN"/>
        </w:rPr>
        <w:t>death</w:t>
      </w:r>
      <w:r>
        <w:rPr>
          <w:rFonts w:ascii="Times New Roman" w:hAnsi="Times New Roman" w:eastAsia="Times New Roman" w:cs="Times New Roman"/>
          <w:sz w:val="28"/>
          <w:szCs w:val="28"/>
          <w:lang w:val="en-IN"/>
        </w:rPr>
        <w:t>. Data cleaning and preprocessing steps included:</w:t>
      </w:r>
    </w:p>
    <w:p w14:paraId="03F032F2">
      <w:pPr>
        <w:pStyle w:val="14"/>
        <w:numPr>
          <w:ilvl w:val="0"/>
          <w:numId w:val="3"/>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Handling Missing Data:</w:t>
      </w:r>
      <w:r>
        <w:rPr>
          <w:rFonts w:ascii="Times New Roman" w:hAnsi="Times New Roman" w:eastAsia="Times New Roman" w:cs="Times New Roman"/>
          <w:sz w:val="28"/>
          <w:szCs w:val="28"/>
          <w:lang w:val="en-IN"/>
        </w:rPr>
        <w:t xml:space="preserve"> Missing </w:t>
      </w:r>
      <w:r>
        <w:rPr>
          <w:rFonts w:ascii="Consolas" w:hAnsi="Consolas" w:eastAsia="Consolas" w:cs="Consolas"/>
          <w:sz w:val="28"/>
          <w:szCs w:val="28"/>
          <w:lang w:val="en-IN"/>
        </w:rPr>
        <w:t>age</w:t>
      </w:r>
      <w:r>
        <w:rPr>
          <w:rFonts w:ascii="Times New Roman" w:hAnsi="Times New Roman" w:eastAsia="Times New Roman" w:cs="Times New Roman"/>
          <w:sz w:val="28"/>
          <w:szCs w:val="28"/>
          <w:lang w:val="en-IN"/>
        </w:rPr>
        <w:t xml:space="preserve"> values were filled with the mean age, while unknown genders were set to "Unknown."</w:t>
      </w:r>
    </w:p>
    <w:p w14:paraId="0C05969B">
      <w:pPr>
        <w:pStyle w:val="14"/>
        <w:numPr>
          <w:ilvl w:val="0"/>
          <w:numId w:val="3"/>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Categorizing Age Groups:</w:t>
      </w:r>
      <w:r>
        <w:rPr>
          <w:rFonts w:ascii="Times New Roman" w:hAnsi="Times New Roman" w:eastAsia="Times New Roman" w:cs="Times New Roman"/>
          <w:sz w:val="28"/>
          <w:szCs w:val="28"/>
          <w:lang w:val="en-IN"/>
        </w:rPr>
        <w:t xml:space="preserve"> Age was grouped into intervals (0-20, 21-40, 41-60, 61-80, 80+), making analysis by age more structured.</w:t>
      </w:r>
    </w:p>
    <w:p w14:paraId="72374454">
      <w:pPr>
        <w:pStyle w:val="14"/>
        <w:numPr>
          <w:ilvl w:val="0"/>
          <w:numId w:val="3"/>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Variable Transformation:</w:t>
      </w:r>
      <w:r>
        <w:rPr>
          <w:rFonts w:ascii="Times New Roman" w:hAnsi="Times New Roman" w:eastAsia="Times New Roman" w:cs="Times New Roman"/>
          <w:sz w:val="28"/>
          <w:szCs w:val="28"/>
          <w:lang w:val="en-IN"/>
        </w:rPr>
        <w:t xml:space="preserve"> The binary death indicator variable was modified for analysis, converting all non-zero values to 1.</w:t>
      </w:r>
    </w:p>
    <w:p w14:paraId="09532091">
      <w:pPr>
        <w:spacing w:line="480" w:lineRule="auto"/>
        <w:jc w:val="both"/>
        <w:rPr>
          <w:rFonts w:ascii="Times New Roman" w:hAnsi="Times New Roman" w:eastAsia="Times New Roman" w:cs="Times New Roman"/>
          <w:sz w:val="28"/>
          <w:szCs w:val="28"/>
          <w:lang w:val="en-IN"/>
        </w:rPr>
      </w:pPr>
    </w:p>
    <w:p w14:paraId="111153DA">
      <w:pPr>
        <w:spacing w:line="480" w:lineRule="auto"/>
        <w:jc w:val="both"/>
        <w:rPr>
          <w:rFonts w:ascii="Bookman Old Style" w:hAnsi="Bookman Old Style"/>
          <w:b/>
          <w:bCs/>
          <w:sz w:val="28"/>
          <w:szCs w:val="28"/>
        </w:rPr>
      </w:pPr>
    </w:p>
    <w:p w14:paraId="4ADE6C78">
      <w:pPr>
        <w:spacing w:line="480" w:lineRule="auto"/>
        <w:jc w:val="both"/>
        <w:rPr>
          <w:rFonts w:ascii="Bookman Old Style" w:hAnsi="Bookman Old Style"/>
          <w:b/>
          <w:bCs/>
          <w:sz w:val="28"/>
          <w:szCs w:val="28"/>
        </w:rPr>
      </w:pPr>
      <w:r>
        <w:rPr>
          <w:rFonts w:ascii="Bookman Old Style" w:hAnsi="Bookman Old Style"/>
          <w:b/>
          <w:bCs/>
          <w:sz w:val="28"/>
          <w:szCs w:val="28"/>
        </w:rPr>
        <w:t>2.2 EDA:</w:t>
      </w:r>
    </w:p>
    <w:p w14:paraId="0C82F7C6">
      <w:pPr>
        <w:spacing w:before="240" w:beforeAutospacing="0" w:after="240" w:afterAutospacing="0" w:line="480" w:lineRule="auto"/>
        <w:jc w:val="both"/>
        <w:rPr>
          <w:rFonts w:ascii="Bookman Old Style" w:hAnsi="Bookman Old Style"/>
          <w:b/>
          <w:bCs/>
          <w:sz w:val="28"/>
          <w:szCs w:val="28"/>
        </w:rPr>
      </w:pPr>
      <w:r>
        <w:rPr>
          <w:rFonts w:ascii="Times New Roman" w:hAnsi="Times New Roman" w:eastAsia="Times New Roman" w:cs="Times New Roman"/>
          <w:sz w:val="28"/>
          <w:szCs w:val="28"/>
          <w:lang w:val="en-IN"/>
        </w:rPr>
        <w:t>To understand COVID-19’s demographic impact, EDA was conducted through age and gender-focused analyses. EDA aims to:</w:t>
      </w:r>
    </w:p>
    <w:p w14:paraId="04847A18">
      <w:pPr>
        <w:pStyle w:val="14"/>
        <w:numPr>
          <w:ilvl w:val="0"/>
          <w:numId w:val="4"/>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Visualize age-specific mortality patterns across defined age ranges.</w:t>
      </w:r>
    </w:p>
    <w:p w14:paraId="73150A09">
      <w:pPr>
        <w:pStyle w:val="14"/>
        <w:numPr>
          <w:ilvl w:val="0"/>
          <w:numId w:val="4"/>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Highlight gender-based disparities in COVID-19 fatalities.</w:t>
      </w:r>
    </w:p>
    <w:p w14:paraId="70281DE8">
      <w:pPr>
        <w:pStyle w:val="14"/>
        <w:numPr>
          <w:ilvl w:val="0"/>
          <w:numId w:val="4"/>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Explore data structure and prepare for advanced modeling with insights from initial trends.</w:t>
      </w:r>
    </w:p>
    <w:p w14:paraId="3524229B">
      <w:pPr>
        <w:spacing w:before="240" w:beforeAutospacing="0" w:after="240" w:afterAutospacing="0" w:line="480" w:lineRule="auto"/>
        <w:jc w:val="both"/>
        <w:rPr>
          <w:rFonts w:ascii="Bookman Old Style" w:hAnsi="Bookman Old Style"/>
          <w:b/>
          <w:bCs/>
          <w:sz w:val="28"/>
          <w:szCs w:val="28"/>
        </w:rPr>
      </w:pPr>
      <w:r>
        <w:rPr>
          <w:rFonts w:ascii="Times New Roman" w:hAnsi="Times New Roman" w:eastAsia="Times New Roman" w:cs="Times New Roman"/>
          <w:sz w:val="28"/>
          <w:szCs w:val="28"/>
          <w:lang w:val="en-IN"/>
        </w:rPr>
        <w:t xml:space="preserve"> </w:t>
      </w:r>
    </w:p>
    <w:p w14:paraId="59727D30">
      <w:pPr>
        <w:spacing w:before="240" w:beforeAutospacing="0" w:after="240" w:afterAutospacing="0" w:line="480" w:lineRule="auto"/>
        <w:jc w:val="both"/>
        <w:rPr>
          <w:rFonts w:ascii="Bookman Old Style" w:hAnsi="Bookman Old Style"/>
          <w:b/>
          <w:bCs/>
          <w:sz w:val="28"/>
          <w:szCs w:val="28"/>
        </w:rPr>
      </w:pPr>
      <w:r>
        <w:rPr>
          <w:rFonts w:ascii="Bookman Old Style" w:hAnsi="Bookman Old Style"/>
          <w:b/>
          <w:bCs/>
          <w:sz w:val="28"/>
          <w:szCs w:val="28"/>
        </w:rPr>
        <w:t>2.3 Analytical Techniques :</w:t>
      </w:r>
    </w:p>
    <w:p w14:paraId="47B621CD">
      <w:pPr>
        <w:spacing w:before="240" w:beforeAutospacing="0" w:after="24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We applied several statistical approaches to gain insights from the dataset:</w:t>
      </w:r>
    </w:p>
    <w:p w14:paraId="0FE976A7">
      <w:pPr>
        <w:pStyle w:val="14"/>
        <w:numPr>
          <w:ilvl w:val="0"/>
          <w:numId w:val="5"/>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Descriptive Statistics:</w:t>
      </w:r>
      <w:r>
        <w:rPr>
          <w:rFonts w:ascii="Times New Roman" w:hAnsi="Times New Roman" w:eastAsia="Times New Roman" w:cs="Times New Roman"/>
          <w:sz w:val="28"/>
          <w:szCs w:val="28"/>
          <w:lang w:val="en-IN"/>
        </w:rPr>
        <w:t xml:space="preserve"> Calculated mean and proportions for mortality across age groups and genders.</w:t>
      </w:r>
    </w:p>
    <w:p w14:paraId="68930498">
      <w:pPr>
        <w:pStyle w:val="14"/>
        <w:numPr>
          <w:ilvl w:val="0"/>
          <w:numId w:val="5"/>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T-Test for Gender-Based Mortality:</w:t>
      </w:r>
      <w:r>
        <w:rPr>
          <w:rFonts w:ascii="Times New Roman" w:hAnsi="Times New Roman" w:eastAsia="Times New Roman" w:cs="Times New Roman"/>
          <w:sz w:val="28"/>
          <w:szCs w:val="28"/>
          <w:lang w:val="en-IN"/>
        </w:rPr>
        <w:t xml:space="preserve"> Tested for significant differences in mortality between male and female groups.</w:t>
      </w:r>
    </w:p>
    <w:p w14:paraId="5F38F1B3">
      <w:pPr>
        <w:pStyle w:val="14"/>
        <w:numPr>
          <w:ilvl w:val="0"/>
          <w:numId w:val="5"/>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Cox Proportional Hazards Model:</w:t>
      </w:r>
      <w:r>
        <w:rPr>
          <w:rFonts w:ascii="Times New Roman" w:hAnsi="Times New Roman" w:eastAsia="Times New Roman" w:cs="Times New Roman"/>
          <w:sz w:val="28"/>
          <w:szCs w:val="28"/>
          <w:lang w:val="en-IN"/>
        </w:rPr>
        <w:t xml:space="preserve"> Modeled the impact of age and gender on COVID-19 mortality. We used a subset of dummy data for this analysis due to the format of the survival analysis package requirements.</w:t>
      </w:r>
    </w:p>
    <w:p w14:paraId="000EF8FC">
      <w:pPr>
        <w:spacing w:before="240" w:beforeAutospacing="0" w:after="240" w:afterAutospacing="0" w:line="480" w:lineRule="auto"/>
        <w:jc w:val="both"/>
        <w:rPr>
          <w:rFonts w:ascii="Times New Roman" w:hAnsi="Times New Roman" w:eastAsia="Times New Roman" w:cs="Times New Roman"/>
          <w:sz w:val="28"/>
          <w:szCs w:val="28"/>
          <w:lang w:val="en-IN"/>
        </w:rPr>
      </w:pPr>
    </w:p>
    <w:p w14:paraId="5112EA60">
      <w:pPr>
        <w:spacing w:line="480" w:lineRule="auto"/>
        <w:jc w:val="both"/>
        <w:rPr>
          <w:rFonts w:ascii="Bookman Old Style" w:hAnsi="Bookman Old Style"/>
          <w:b/>
          <w:bCs/>
          <w:sz w:val="28"/>
          <w:szCs w:val="28"/>
        </w:rPr>
      </w:pPr>
      <w:r>
        <w:rPr>
          <w:rFonts w:ascii="Bookman Old Style" w:hAnsi="Bookman Old Style"/>
          <w:b/>
          <w:bCs/>
          <w:sz w:val="28"/>
          <w:szCs w:val="28"/>
        </w:rPr>
        <w:t>2.4 Cox Regression Analysis Model:</w:t>
      </w:r>
    </w:p>
    <w:p w14:paraId="32F07F5D">
      <w:pPr>
        <w:spacing w:before="240" w:beforeAutospacing="0" w:after="240" w:afterAutospacing="0" w:line="480" w:lineRule="auto"/>
        <w:jc w:val="both"/>
        <w:rPr>
          <w:rFonts w:ascii="Times New Roman" w:hAnsi="Times New Roman" w:eastAsia="Times New Roman" w:cs="Times New Roman"/>
          <w:b w:val="0"/>
          <w:bCs w:val="0"/>
          <w:sz w:val="28"/>
          <w:szCs w:val="28"/>
        </w:rPr>
      </w:pPr>
      <w:r>
        <w:rPr>
          <w:rFonts w:ascii="Times New Roman" w:hAnsi="Times New Roman" w:eastAsia="Times New Roman" w:cs="Times New Roman"/>
          <w:sz w:val="28"/>
          <w:szCs w:val="28"/>
          <w:lang w:val="en-IN"/>
        </w:rPr>
        <w:t>The Cox proportional hazards model is a survival analysis technique that helps in understanding factors that impact the survival probability over time. In our case:</w:t>
      </w:r>
    </w:p>
    <w:p w14:paraId="28CD1368">
      <w:pPr>
        <w:pStyle w:val="14"/>
        <w:numPr>
          <w:ilvl w:val="0"/>
          <w:numId w:val="6"/>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Time Variable:</w:t>
      </w:r>
      <w:r>
        <w:rPr>
          <w:rFonts w:ascii="Times New Roman" w:hAnsi="Times New Roman" w:eastAsia="Times New Roman" w:cs="Times New Roman"/>
          <w:sz w:val="28"/>
          <w:szCs w:val="28"/>
          <w:lang w:val="en-IN"/>
        </w:rPr>
        <w:t xml:space="preserve"> Represents the days of survival post-COVID-19 diagnosis.</w:t>
      </w:r>
    </w:p>
    <w:p w14:paraId="17446EBB">
      <w:pPr>
        <w:pStyle w:val="14"/>
        <w:numPr>
          <w:ilvl w:val="0"/>
          <w:numId w:val="6"/>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Event Variable:</w:t>
      </w:r>
      <w:r>
        <w:rPr>
          <w:rFonts w:ascii="Times New Roman" w:hAnsi="Times New Roman" w:eastAsia="Times New Roman" w:cs="Times New Roman"/>
          <w:sz w:val="28"/>
          <w:szCs w:val="28"/>
          <w:lang w:val="en-IN"/>
        </w:rPr>
        <w:t xml:space="preserve"> Indicates death due to COVID-19 (1 = death, 0 = survival).</w:t>
      </w:r>
    </w:p>
    <w:p w14:paraId="1A38AA33">
      <w:pPr>
        <w:pStyle w:val="14"/>
        <w:numPr>
          <w:ilvl w:val="0"/>
          <w:numId w:val="6"/>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Covariates:</w:t>
      </w:r>
      <w:r>
        <w:rPr>
          <w:rFonts w:ascii="Times New Roman" w:hAnsi="Times New Roman" w:eastAsia="Times New Roman" w:cs="Times New Roman"/>
          <w:sz w:val="28"/>
          <w:szCs w:val="28"/>
          <w:lang w:val="en-IN"/>
        </w:rPr>
        <w:t xml:space="preserve"> Age and gender were included to analyze their respective impact on mortality risk.</w:t>
      </w:r>
    </w:p>
    <w:p w14:paraId="39DD6A2F">
      <w:pPr>
        <w:spacing w:line="480" w:lineRule="auto"/>
        <w:jc w:val="both"/>
        <w:rPr>
          <w:rFonts w:ascii="Times New Roman" w:hAnsi="Times New Roman" w:eastAsia="Times New Roman" w:cs="Times New Roman"/>
          <w:b w:val="0"/>
          <w:bCs w:val="0"/>
          <w:sz w:val="28"/>
          <w:szCs w:val="28"/>
        </w:rPr>
      </w:pPr>
    </w:p>
    <w:p w14:paraId="1C864C0D">
      <w:pPr>
        <w:spacing w:line="480" w:lineRule="auto"/>
        <w:jc w:val="both"/>
        <w:rPr>
          <w:rFonts w:ascii="Bookman Old Style" w:hAnsi="Bookman Old Style"/>
          <w:b/>
          <w:bCs/>
          <w:sz w:val="28"/>
          <w:szCs w:val="28"/>
        </w:rPr>
      </w:pPr>
      <w:r>
        <w:rPr>
          <w:rFonts w:ascii="Bookman Old Style" w:hAnsi="Bookman Old Style"/>
          <w:b/>
          <w:bCs/>
          <w:sz w:val="28"/>
          <w:szCs w:val="28"/>
        </w:rPr>
        <w:t>2.5 Explain the dashboard:</w:t>
      </w:r>
    </w:p>
    <w:p w14:paraId="41D03791">
      <w:pPr>
        <w:spacing w:before="240" w:beforeAutospacing="0" w:after="24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The Shiny dashboard is structured into three main tabs, each offering distinct analytical insights:</w:t>
      </w:r>
    </w:p>
    <w:p w14:paraId="1683C0E8">
      <w:pPr>
        <w:pStyle w:val="14"/>
        <w:numPr>
          <w:ilvl w:val="0"/>
          <w:numId w:val="7"/>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Data Overview Tab:</w:t>
      </w:r>
      <w:r>
        <w:rPr>
          <w:rFonts w:ascii="Times New Roman" w:hAnsi="Times New Roman" w:eastAsia="Times New Roman" w:cs="Times New Roman"/>
          <w:sz w:val="28"/>
          <w:szCs w:val="28"/>
          <w:lang w:val="en-IN"/>
        </w:rPr>
        <w:t xml:space="preserve"> Displays filtered data based on user-selected age range and gender, providing raw data insights.</w:t>
      </w:r>
    </w:p>
    <w:p w14:paraId="6B4123AF">
      <w:pPr>
        <w:pStyle w:val="14"/>
        <w:numPr>
          <w:ilvl w:val="0"/>
          <w:numId w:val="7"/>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Age and Gender Analysis Tabs:</w:t>
      </w:r>
      <w:r>
        <w:rPr>
          <w:rFonts w:ascii="Times New Roman" w:hAnsi="Times New Roman" w:eastAsia="Times New Roman" w:cs="Times New Roman"/>
          <w:sz w:val="28"/>
          <w:szCs w:val="28"/>
          <w:lang w:val="en-IN"/>
        </w:rPr>
        <w:t xml:space="preserve"> Show graphs and charts highlighting mortality rates and distribution patterns for each demographic.</w:t>
      </w:r>
    </w:p>
    <w:p w14:paraId="36571E31">
      <w:pPr>
        <w:pStyle w:val="14"/>
        <w:numPr>
          <w:ilvl w:val="0"/>
          <w:numId w:val="7"/>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Cox Regression Analysis Tab:</w:t>
      </w:r>
      <w:r>
        <w:rPr>
          <w:rFonts w:ascii="Times New Roman" w:hAnsi="Times New Roman" w:eastAsia="Times New Roman" w:cs="Times New Roman"/>
          <w:sz w:val="28"/>
          <w:szCs w:val="28"/>
          <w:lang w:val="en-IN"/>
        </w:rPr>
        <w:t xml:space="preserve"> Includes Kaplan-Meier survival curves and hazard ratios based on gender, facilitating survival analysis interpretation.</w:t>
      </w:r>
    </w:p>
    <w:p w14:paraId="7322E6C8">
      <w:pPr>
        <w:spacing w:line="480" w:lineRule="auto"/>
        <w:ind w:firstLine="720"/>
        <w:jc w:val="both"/>
        <w:rPr>
          <w:rFonts w:ascii="Times New Roman" w:hAnsi="Times New Roman" w:eastAsia="Times New Roman" w:cs="Times New Roman"/>
          <w:sz w:val="28"/>
          <w:szCs w:val="28"/>
          <w:lang w:val="en-IN"/>
        </w:rPr>
      </w:pPr>
    </w:p>
    <w:p w14:paraId="3E74C377">
      <w:pPr>
        <w:spacing w:line="480" w:lineRule="auto"/>
        <w:jc w:val="both"/>
        <w:rPr>
          <w:rFonts w:ascii="Bookman Old Style" w:hAnsi="Bookman Old Style"/>
          <w:b/>
          <w:bCs/>
          <w:sz w:val="40"/>
          <w:szCs w:val="40"/>
        </w:rPr>
      </w:pPr>
      <w:r>
        <w:rPr>
          <w:rFonts w:ascii="Bookman Old Style" w:hAnsi="Bookman Old Style"/>
          <w:b/>
          <w:bCs/>
          <w:sz w:val="40"/>
          <w:szCs w:val="40"/>
        </w:rPr>
        <w:t>Chapter 3 - Implementation</w:t>
      </w:r>
    </w:p>
    <w:p w14:paraId="6CC71442">
      <w:pPr>
        <w:spacing w:line="480" w:lineRule="auto"/>
        <w:jc w:val="both"/>
        <w:rPr>
          <w:rFonts w:ascii="Bookman Old Style" w:hAnsi="Bookman Old Style"/>
          <w:b/>
          <w:bCs/>
          <w:sz w:val="28"/>
          <w:szCs w:val="28"/>
        </w:rPr>
      </w:pPr>
    </w:p>
    <w:p w14:paraId="4041B076">
      <w:pPr>
        <w:spacing w:line="480" w:lineRule="auto"/>
        <w:jc w:val="both"/>
        <w:rPr>
          <w:rFonts w:ascii="Bookman Old Style" w:hAnsi="Bookman Old Style"/>
          <w:b/>
          <w:bCs/>
          <w:sz w:val="28"/>
          <w:szCs w:val="28"/>
        </w:rPr>
      </w:pPr>
      <w:r>
        <w:rPr>
          <w:rFonts w:ascii="Bookman Old Style" w:hAnsi="Bookman Old Style"/>
          <w:b/>
          <w:bCs/>
          <w:sz w:val="28"/>
          <w:szCs w:val="28"/>
        </w:rPr>
        <w:t>3.1 Data Pre-processing:</w:t>
      </w:r>
    </w:p>
    <w:p w14:paraId="58B66F33">
      <w:pPr>
        <w:spacing w:before="240" w:beforeAutospacing="0" w:after="24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Data preparation is crucial to ensure accuracy in analysis. Missing age values were filled with the average age, and unknown gender values were set as “Unknown” to retain all data entries. Age was categorized into age groups to allow easier analysis across different demographics, making it possible to produce age-specific mortality visualizations.</w:t>
      </w:r>
    </w:p>
    <w:p w14:paraId="1D7F6476">
      <w:pPr>
        <w:spacing w:line="480" w:lineRule="auto"/>
        <w:jc w:val="both"/>
        <w:rPr>
          <w:rFonts w:ascii="Bookman Old Style" w:hAnsi="Bookman Old Style"/>
          <w:b/>
          <w:bCs/>
          <w:sz w:val="28"/>
          <w:szCs w:val="28"/>
        </w:rPr>
      </w:pPr>
      <w:r>
        <w:rPr>
          <w:rFonts w:ascii="Bookman Old Style" w:hAnsi="Bookman Old Style"/>
          <w:b/>
          <w:bCs/>
          <w:sz w:val="28"/>
          <w:szCs w:val="28"/>
        </w:rPr>
        <w:t>3.2 Implementation of EDA:</w:t>
      </w:r>
    </w:p>
    <w:p w14:paraId="1390EF18">
      <w:pPr>
        <w:spacing w:before="240" w:beforeAutospacing="0" w:after="24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EDA was implemented using the </w:t>
      </w:r>
      <w:r>
        <w:rPr>
          <w:rFonts w:ascii="Consolas" w:hAnsi="Consolas" w:eastAsia="Consolas" w:cs="Consolas"/>
          <w:sz w:val="28"/>
          <w:szCs w:val="28"/>
          <w:lang w:val="en-IN"/>
        </w:rPr>
        <w:t>ggplot2</w:t>
      </w:r>
      <w:r>
        <w:rPr>
          <w:rFonts w:ascii="Times New Roman" w:hAnsi="Times New Roman" w:eastAsia="Times New Roman" w:cs="Times New Roman"/>
          <w:sz w:val="28"/>
          <w:szCs w:val="28"/>
          <w:lang w:val="en-IN"/>
        </w:rPr>
        <w:t xml:space="preserve"> library, creating visually compelling graphics. Key visualizations include:</w:t>
      </w:r>
    </w:p>
    <w:p w14:paraId="4ECD68D6">
      <w:pPr>
        <w:pStyle w:val="14"/>
        <w:numPr>
          <w:ilvl w:val="0"/>
          <w:numId w:val="8"/>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Bar Plot of Mortality by Age Group:</w:t>
      </w:r>
      <w:r>
        <w:rPr>
          <w:rFonts w:ascii="Times New Roman" w:hAnsi="Times New Roman" w:eastAsia="Times New Roman" w:cs="Times New Roman"/>
          <w:sz w:val="28"/>
          <w:szCs w:val="28"/>
          <w:lang w:val="en-IN"/>
        </w:rPr>
        <w:t xml:space="preserve"> Reveals mortality differences across age groups, highlighting which age groups are at higher risk.</w:t>
      </w:r>
    </w:p>
    <w:p w14:paraId="0F172CFA">
      <w:pPr>
        <w:pStyle w:val="14"/>
        <w:numPr>
          <w:ilvl w:val="0"/>
          <w:numId w:val="8"/>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Density Plot of Age Distribution by Gender:</w:t>
      </w:r>
      <w:r>
        <w:rPr>
          <w:rFonts w:ascii="Times New Roman" w:hAnsi="Times New Roman" w:eastAsia="Times New Roman" w:cs="Times New Roman"/>
          <w:sz w:val="28"/>
          <w:szCs w:val="28"/>
          <w:lang w:val="en-IN"/>
        </w:rPr>
        <w:t xml:space="preserve"> Shows the spread of ages among genders, helping identify whether certain genders exhibit clustering around specific age ranges.</w:t>
      </w:r>
    </w:p>
    <w:p w14:paraId="02A6F971">
      <w:pPr>
        <w:pStyle w:val="14"/>
        <w:numPr>
          <w:ilvl w:val="0"/>
          <w:numId w:val="8"/>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Pie Chart of Gender-Based Mortality Rates:</w:t>
      </w:r>
      <w:r>
        <w:rPr>
          <w:rFonts w:ascii="Times New Roman" w:hAnsi="Times New Roman" w:eastAsia="Times New Roman" w:cs="Times New Roman"/>
          <w:sz w:val="28"/>
          <w:szCs w:val="28"/>
          <w:lang w:val="en-IN"/>
        </w:rPr>
        <w:t xml:space="preserve"> Illustrates the proportion of male vs. female fatalities.</w:t>
      </w:r>
    </w:p>
    <w:p w14:paraId="5B90F69A">
      <w:pPr>
        <w:pStyle w:val="14"/>
        <w:numPr>
          <w:ilvl w:val="0"/>
          <w:numId w:val="8"/>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Box Plot and Violin Plot for Age by Gender:</w:t>
      </w:r>
      <w:r>
        <w:rPr>
          <w:rFonts w:ascii="Times New Roman" w:hAnsi="Times New Roman" w:eastAsia="Times New Roman" w:cs="Times New Roman"/>
          <w:sz w:val="28"/>
          <w:szCs w:val="28"/>
          <w:lang w:val="en-IN"/>
        </w:rPr>
        <w:t xml:space="preserve"> These visualizations provide deeper insight into age variability within each gender group, showcasing potential outliers and age group central tendencies.</w:t>
      </w:r>
    </w:p>
    <w:p w14:paraId="69BE414E">
      <w:pPr>
        <w:spacing w:line="480" w:lineRule="auto"/>
        <w:jc w:val="both"/>
        <w:rPr>
          <w:rFonts w:ascii="Times New Roman" w:hAnsi="Times New Roman" w:eastAsia="Times New Roman" w:cs="Times New Roman"/>
          <w:sz w:val="28"/>
          <w:szCs w:val="28"/>
          <w:lang w:val="en-IN"/>
        </w:rPr>
      </w:pPr>
    </w:p>
    <w:p w14:paraId="398D2247">
      <w:pPr>
        <w:spacing w:line="480" w:lineRule="auto"/>
        <w:jc w:val="both"/>
        <w:rPr>
          <w:rFonts w:ascii="Bookman Old Style" w:hAnsi="Bookman Old Style"/>
          <w:b/>
          <w:bCs/>
          <w:sz w:val="28"/>
          <w:szCs w:val="28"/>
        </w:rPr>
      </w:pPr>
      <w:r>
        <w:rPr>
          <w:rFonts w:ascii="Bookman Old Style" w:hAnsi="Bookman Old Style"/>
          <w:b/>
          <w:bCs/>
          <w:sz w:val="28"/>
          <w:szCs w:val="28"/>
        </w:rPr>
        <w:t>3.3 Implementation of Analytical Techniques:</w:t>
      </w:r>
    </w:p>
    <w:p w14:paraId="7FC7AFBF">
      <w:pPr>
        <w:pStyle w:val="14"/>
        <w:numPr>
          <w:ilvl w:val="0"/>
          <w:numId w:val="2"/>
        </w:numPr>
        <w:spacing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T-Test on Gender-Based Mortality:</w:t>
      </w:r>
      <w:r>
        <w:rPr>
          <w:rFonts w:ascii="Times New Roman" w:hAnsi="Times New Roman" w:eastAsia="Times New Roman" w:cs="Times New Roman"/>
          <w:sz w:val="28"/>
          <w:szCs w:val="28"/>
          <w:lang w:val="en-US"/>
        </w:rPr>
        <w:t xml:space="preserve"> Conducted to determine the statistical significance of differences in mortality rates between genders, helping confirm whether gender impacts COVID-19 outcomes.</w:t>
      </w:r>
    </w:p>
    <w:p w14:paraId="52EB141D">
      <w:pPr>
        <w:pStyle w:val="14"/>
        <w:numPr>
          <w:ilvl w:val="0"/>
          <w:numId w:val="2"/>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Cox Proportional Hazards Model:</w:t>
      </w:r>
      <w:r>
        <w:rPr>
          <w:rFonts w:ascii="Times New Roman" w:hAnsi="Times New Roman" w:eastAsia="Times New Roman" w:cs="Times New Roman"/>
          <w:sz w:val="28"/>
          <w:szCs w:val="28"/>
          <w:lang w:val="en-US"/>
        </w:rPr>
        <w:t xml:space="preserve"> This model was fitted using a subset of dummy data to estimate the risk of mortality over time based on age and gender.</w:t>
      </w:r>
    </w:p>
    <w:p w14:paraId="2352C646">
      <w:pPr>
        <w:spacing w:line="480" w:lineRule="auto"/>
        <w:ind w:firstLine="0"/>
        <w:jc w:val="both"/>
        <w:rPr>
          <w:rFonts w:ascii="Times New Roman" w:hAnsi="Times New Roman" w:eastAsia="Times New Roman" w:cs="Times New Roman"/>
          <w:sz w:val="28"/>
          <w:szCs w:val="28"/>
          <w:lang w:val="en-US"/>
        </w:rPr>
      </w:pPr>
    </w:p>
    <w:p w14:paraId="0D49B49F">
      <w:pPr>
        <w:spacing w:line="480" w:lineRule="auto"/>
        <w:jc w:val="both"/>
        <w:rPr>
          <w:rFonts w:ascii="Bookman Old Style" w:hAnsi="Bookman Old Style"/>
          <w:b/>
          <w:bCs/>
          <w:sz w:val="28"/>
          <w:szCs w:val="28"/>
        </w:rPr>
      </w:pPr>
      <w:r>
        <w:rPr>
          <w:rFonts w:ascii="Bookman Old Style" w:hAnsi="Bookman Old Style"/>
          <w:b/>
          <w:bCs/>
          <w:sz w:val="28"/>
          <w:szCs w:val="28"/>
        </w:rPr>
        <w:t>3.4 Give the name of the applied predictive model:</w:t>
      </w:r>
    </w:p>
    <w:p w14:paraId="12211868">
      <w:pPr>
        <w:spacing w:before="240" w:beforeAutospacing="0" w:after="240" w:afterAutospacing="0" w:line="480" w:lineRule="auto"/>
        <w:jc w:val="both"/>
        <w:rPr>
          <w:rFonts w:ascii="Times New Roman" w:hAnsi="Times New Roman" w:eastAsia="Times New Roman" w:cs="Times New Roman"/>
          <w:b w:val="0"/>
          <w:bCs w:val="0"/>
          <w:i w:val="0"/>
          <w:iCs w:val="0"/>
          <w:sz w:val="28"/>
          <w:szCs w:val="28"/>
          <w:lang w:val="en-IN"/>
        </w:rPr>
      </w:pPr>
      <w:r>
        <w:rPr>
          <w:rFonts w:ascii="Times New Roman" w:hAnsi="Times New Roman" w:eastAsia="Times New Roman" w:cs="Times New Roman"/>
          <w:b w:val="0"/>
          <w:bCs w:val="0"/>
          <w:i w:val="0"/>
          <w:iCs w:val="0"/>
          <w:sz w:val="28"/>
          <w:szCs w:val="28"/>
          <w:lang w:val="en-IN"/>
        </w:rPr>
        <w:t>In the Cox regression model:</w:t>
      </w:r>
    </w:p>
    <w:p w14:paraId="43248BAC">
      <w:pPr>
        <w:pStyle w:val="14"/>
        <w:numPr>
          <w:ilvl w:val="0"/>
          <w:numId w:val="9"/>
        </w:numPr>
        <w:spacing w:before="0" w:beforeAutospacing="0" w:after="0" w:afterAutospacing="0" w:line="480" w:lineRule="auto"/>
        <w:jc w:val="both"/>
        <w:rPr>
          <w:rFonts w:ascii="Bookman Old Style" w:hAnsi="Bookman Old Style" w:eastAsia="Bookman Old Style" w:cs="Bookman Old Style"/>
          <w:b w:val="0"/>
          <w:bCs w:val="0"/>
          <w:sz w:val="28"/>
          <w:szCs w:val="28"/>
          <w:lang w:val="en-IN"/>
        </w:rPr>
      </w:pPr>
      <w:r>
        <w:rPr>
          <w:rFonts w:ascii="Times New Roman" w:hAnsi="Times New Roman" w:eastAsia="Times New Roman" w:cs="Times New Roman"/>
          <w:b w:val="0"/>
          <w:bCs w:val="0"/>
          <w:sz w:val="28"/>
          <w:szCs w:val="28"/>
          <w:lang w:val="en-IN"/>
        </w:rPr>
        <w:t>Age and Gender Effects: Were assessed for their impact on the likelihood of mortality, with results showing increased mortality risk with age.</w:t>
      </w:r>
    </w:p>
    <w:p w14:paraId="43B2DBDF">
      <w:pPr>
        <w:pStyle w:val="14"/>
        <w:numPr>
          <w:ilvl w:val="0"/>
          <w:numId w:val="9"/>
        </w:numPr>
        <w:spacing w:before="0" w:beforeAutospacing="0" w:after="0" w:afterAutospacing="0" w:line="480" w:lineRule="auto"/>
        <w:jc w:val="both"/>
        <w:rPr>
          <w:rFonts w:ascii="Times New Roman" w:hAnsi="Times New Roman" w:eastAsia="Times New Roman" w:cs="Times New Roman"/>
          <w:b w:val="0"/>
          <w:bCs w:val="0"/>
          <w:sz w:val="28"/>
          <w:szCs w:val="28"/>
          <w:lang w:val="en-IN"/>
        </w:rPr>
      </w:pPr>
      <w:r>
        <w:rPr>
          <w:rFonts w:ascii="Times New Roman" w:hAnsi="Times New Roman" w:eastAsia="Times New Roman" w:cs="Times New Roman"/>
          <w:b w:val="0"/>
          <w:bCs w:val="0"/>
          <w:sz w:val="28"/>
          <w:szCs w:val="28"/>
          <w:lang w:val="en-IN"/>
        </w:rPr>
        <w:t>Kaplan-Meier Survival Curve for Gender: Displays survival probabilities over time for each gender group, providing visual insight into differences in survival outcomes.</w:t>
      </w:r>
    </w:p>
    <w:p w14:paraId="38E7024C">
      <w:pPr>
        <w:spacing w:line="480" w:lineRule="auto"/>
        <w:jc w:val="both"/>
        <w:rPr>
          <w:rFonts w:ascii="Bookman Old Style" w:hAnsi="Bookman Old Style"/>
          <w:b w:val="0"/>
          <w:bCs w:val="0"/>
          <w:sz w:val="28"/>
          <w:szCs w:val="28"/>
        </w:rPr>
      </w:pPr>
    </w:p>
    <w:p w14:paraId="50223F16">
      <w:pPr>
        <w:spacing w:line="480" w:lineRule="auto"/>
        <w:jc w:val="both"/>
        <w:rPr>
          <w:rFonts w:ascii="Bookman Old Style" w:hAnsi="Bookman Old Style"/>
          <w:b/>
          <w:bCs/>
          <w:sz w:val="28"/>
          <w:szCs w:val="28"/>
        </w:rPr>
      </w:pPr>
      <w:r>
        <w:rPr>
          <w:rFonts w:ascii="Bookman Old Style" w:hAnsi="Bookman Old Style"/>
          <w:b/>
          <w:bCs/>
          <w:sz w:val="28"/>
          <w:szCs w:val="28"/>
        </w:rPr>
        <w:t>3.5 Cox Regression Analysis dashboard :</w:t>
      </w:r>
    </w:p>
    <w:p w14:paraId="458995F9">
      <w:pPr>
        <w:pStyle w:val="14"/>
        <w:spacing w:line="480" w:lineRule="auto"/>
        <w:ind w:left="0"/>
        <w:jc w:val="both"/>
      </w:pPr>
      <w:r>
        <w:rPr>
          <w:rFonts w:ascii="Times New Roman" w:hAnsi="Times New Roman" w:eastAsia="Times New Roman" w:cs="Times New Roman"/>
          <w:sz w:val="28"/>
          <w:szCs w:val="28"/>
          <w:lang w:val="en-IN"/>
        </w:rPr>
        <w:t>The dashboard, named "COVID-19 Mortality Dashboard," allows users to interactively explore the data through a well-organized UI, making it easy to navigate and interpret the data findings. Interactive filters for age and gender enhance user experience, enabling customized insights.</w:t>
      </w:r>
    </w:p>
    <w:p w14:paraId="1D7285B4">
      <w:pPr>
        <w:pStyle w:val="14"/>
        <w:spacing w:line="480" w:lineRule="auto"/>
        <w:jc w:val="both"/>
        <w:rPr>
          <w:rFonts w:ascii="Bookman Old Style" w:hAnsi="Bookman Old Style"/>
          <w:sz w:val="24"/>
          <w:szCs w:val="24"/>
        </w:rPr>
      </w:pPr>
    </w:p>
    <w:p w14:paraId="43A7440C">
      <w:pPr>
        <w:spacing w:line="480" w:lineRule="auto"/>
        <w:jc w:val="both"/>
        <w:rPr>
          <w:rFonts w:ascii="Bookman Old Style" w:hAnsi="Bookman Old Style"/>
          <w:b/>
          <w:bCs/>
          <w:sz w:val="40"/>
          <w:szCs w:val="40"/>
        </w:rPr>
      </w:pPr>
      <w:r>
        <w:rPr>
          <w:rFonts w:ascii="Bookman Old Style" w:hAnsi="Bookman Old Style"/>
          <w:b/>
          <w:bCs/>
          <w:sz w:val="40"/>
          <w:szCs w:val="40"/>
        </w:rPr>
        <w:t>Chapter 4 – Results and Discussion</w:t>
      </w:r>
    </w:p>
    <w:p w14:paraId="5C4A8822">
      <w:pPr>
        <w:spacing w:line="480" w:lineRule="auto"/>
        <w:jc w:val="both"/>
        <w:rPr>
          <w:rFonts w:ascii="Bookman Old Style" w:hAnsi="Bookman Old Style"/>
          <w:b/>
          <w:bCs/>
          <w:sz w:val="28"/>
          <w:szCs w:val="28"/>
        </w:rPr>
      </w:pPr>
    </w:p>
    <w:p w14:paraId="5D26CC71">
      <w:pPr>
        <w:spacing w:line="480" w:lineRule="auto"/>
        <w:jc w:val="both"/>
        <w:rPr>
          <w:rFonts w:ascii="Bookman Old Style" w:hAnsi="Bookman Old Style"/>
          <w:b/>
          <w:bCs/>
          <w:sz w:val="28"/>
          <w:szCs w:val="28"/>
        </w:rPr>
      </w:pPr>
      <w:r>
        <w:rPr>
          <w:rFonts w:ascii="Bookman Old Style" w:hAnsi="Bookman Old Style"/>
          <w:b/>
          <w:bCs/>
          <w:sz w:val="28"/>
          <w:szCs w:val="28"/>
        </w:rPr>
        <w:t>4.1 Result of Data Pre-processing:</w:t>
      </w:r>
    </w:p>
    <w:p w14:paraId="5782B0DC">
      <w:pPr>
        <w:spacing w:before="0" w:beforeAutospacing="0" w:after="0" w:afterAutospacing="0" w:line="480" w:lineRule="auto"/>
        <w:jc w:val="both"/>
      </w:pPr>
      <w:r>
        <w:rPr>
          <w:rFonts w:ascii="Times New Roman" w:hAnsi="Times New Roman" w:eastAsia="Times New Roman" w:cs="Times New Roman"/>
          <w:sz w:val="28"/>
          <w:szCs w:val="28"/>
          <w:lang w:val="en-IN"/>
        </w:rPr>
        <w:t>The data preprocessing step established a foundational dataset that enabled accurate and consistent analysis:</w:t>
      </w:r>
    </w:p>
    <w:p w14:paraId="3D65BBCB">
      <w:pPr>
        <w:pStyle w:val="14"/>
        <w:numPr>
          <w:ilvl w:val="0"/>
          <w:numId w:val="10"/>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Handling Missing Values:</w:t>
      </w:r>
      <w:r>
        <w:rPr>
          <w:rFonts w:ascii="Times New Roman" w:hAnsi="Times New Roman" w:eastAsia="Times New Roman" w:cs="Times New Roman"/>
          <w:sz w:val="28"/>
          <w:szCs w:val="28"/>
          <w:lang w:val="en-IN"/>
        </w:rPr>
        <w:t xml:space="preserve"> The choice to fill missing age values with the mean was crucial for retaining the dataset's integrity while ensuring that gaps did not distort the results. This method provided a balance between data completeness and potential bias.</w:t>
      </w:r>
    </w:p>
    <w:p w14:paraId="7BF6ED43">
      <w:pPr>
        <w:pStyle w:val="14"/>
        <w:numPr>
          <w:ilvl w:val="0"/>
          <w:numId w:val="10"/>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Categorization of Age Groups:</w:t>
      </w:r>
      <w:r>
        <w:rPr>
          <w:rFonts w:ascii="Times New Roman" w:hAnsi="Times New Roman" w:eastAsia="Times New Roman" w:cs="Times New Roman"/>
          <w:sz w:val="28"/>
          <w:szCs w:val="28"/>
          <w:lang w:val="en-IN"/>
        </w:rPr>
        <w:t xml:space="preserve"> Age grouping allowed us to conduct age-segmented analysis and visualizations. This approach revealed distinct mortality patterns across age groups, which would be less apparent in a continuous age distribution.</w:t>
      </w:r>
    </w:p>
    <w:p w14:paraId="1865FBB5">
      <w:pPr>
        <w:spacing w:line="480" w:lineRule="auto"/>
        <w:jc w:val="both"/>
        <w:rPr>
          <w:rFonts w:ascii="Times New Roman" w:hAnsi="Times New Roman" w:eastAsia="Times New Roman" w:cs="Times New Roman"/>
          <w:sz w:val="28"/>
          <w:szCs w:val="28"/>
          <w:lang w:val="en-IN"/>
        </w:rPr>
      </w:pPr>
    </w:p>
    <w:p w14:paraId="2C251C70">
      <w:pPr>
        <w:spacing w:line="480" w:lineRule="auto"/>
        <w:jc w:val="both"/>
        <w:rPr>
          <w:rFonts w:ascii="Bookman Old Style" w:hAnsi="Bookman Old Style"/>
          <w:b/>
          <w:bCs/>
          <w:sz w:val="28"/>
          <w:szCs w:val="28"/>
        </w:rPr>
      </w:pPr>
      <w:r>
        <w:rPr>
          <w:rFonts w:ascii="Bookman Old Style" w:hAnsi="Bookman Old Style"/>
          <w:b/>
          <w:bCs/>
          <w:sz w:val="28"/>
          <w:szCs w:val="28"/>
        </w:rPr>
        <w:t>4.2 Result of Implementation of EDA:</w:t>
      </w:r>
    </w:p>
    <w:p w14:paraId="1A92CD67">
      <w:pPr>
        <w:spacing w:before="240" w:beforeAutospacing="0" w:after="24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EDA provided immediate, descriptive insights:</w:t>
      </w:r>
    </w:p>
    <w:p w14:paraId="2798D74A">
      <w:pPr>
        <w:pStyle w:val="14"/>
        <w:numPr>
          <w:ilvl w:val="0"/>
          <w:numId w:val="11"/>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Age-Based Mortality:</w:t>
      </w:r>
      <w:r>
        <w:rPr>
          <w:rFonts w:ascii="Times New Roman" w:hAnsi="Times New Roman" w:eastAsia="Times New Roman" w:cs="Times New Roman"/>
          <w:sz w:val="28"/>
          <w:szCs w:val="28"/>
          <w:lang w:val="en-IN"/>
        </w:rPr>
        <w:t xml:space="preserve"> Older age groups showed disproportionately higher mortality, particularly among individuals aged 60 and above. This finding highlights the importance of age as a critical risk factor for COVID-19 severity.</w:t>
      </w:r>
    </w:p>
    <w:p w14:paraId="70419EEF">
      <w:pPr>
        <w:pStyle w:val="14"/>
        <w:numPr>
          <w:ilvl w:val="0"/>
          <w:numId w:val="11"/>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Gender-Based Mortality Patterns:</w:t>
      </w:r>
      <w:r>
        <w:rPr>
          <w:rFonts w:ascii="Times New Roman" w:hAnsi="Times New Roman" w:eastAsia="Times New Roman" w:cs="Times New Roman"/>
          <w:sz w:val="28"/>
          <w:szCs w:val="28"/>
          <w:lang w:val="en-IN"/>
        </w:rPr>
        <w:t xml:space="preserve"> Males exhibited higher COVID-19 mortality rates compared to females. This observation, which aligns with findings in other COVID-19 studies, could suggest a combination of biological and social factors influencing vulnerability.</w:t>
      </w:r>
    </w:p>
    <w:p w14:paraId="5E1B3D49">
      <w:pPr>
        <w:pStyle w:val="14"/>
        <w:numPr>
          <w:ilvl w:val="0"/>
          <w:numId w:val="11"/>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Cross-Analysis of Age and Gender:</w:t>
      </w:r>
      <w:r>
        <w:rPr>
          <w:rFonts w:ascii="Times New Roman" w:hAnsi="Times New Roman" w:eastAsia="Times New Roman" w:cs="Times New Roman"/>
          <w:sz w:val="28"/>
          <w:szCs w:val="28"/>
          <w:lang w:val="en-IN"/>
        </w:rPr>
        <w:t xml:space="preserve"> By intersecting age and gender data, patterns emerged showing that older males faced the highest mortality risks. This dual analysis underscores the compounded risk for certain demographics.</w:t>
      </w:r>
    </w:p>
    <w:p w14:paraId="74A6B079">
      <w:pPr>
        <w:spacing w:before="240" w:beforeAutospacing="0" w:after="240" w:afterAutospacing="0" w:line="480" w:lineRule="auto"/>
        <w:jc w:val="both"/>
        <w:rPr>
          <w:rFonts w:ascii="Times New Roman" w:hAnsi="Times New Roman" w:eastAsia="Times New Roman" w:cs="Times New Roman"/>
          <w:sz w:val="28"/>
          <w:szCs w:val="28"/>
          <w:lang w:val="en-IN"/>
        </w:rPr>
      </w:pPr>
    </w:p>
    <w:p w14:paraId="4D6106FB">
      <w:pPr>
        <w:spacing w:line="480" w:lineRule="auto"/>
        <w:jc w:val="both"/>
        <w:rPr>
          <w:rFonts w:ascii="Bookman Old Style" w:hAnsi="Bookman Old Style"/>
          <w:b/>
          <w:bCs/>
          <w:sz w:val="28"/>
          <w:szCs w:val="28"/>
        </w:rPr>
      </w:pPr>
      <w:r>
        <w:rPr>
          <w:rFonts w:ascii="Bookman Old Style" w:hAnsi="Bookman Old Style"/>
          <w:b/>
          <w:bCs/>
          <w:sz w:val="28"/>
          <w:szCs w:val="28"/>
        </w:rPr>
        <w:t>4.3 Result of Analytical Techniques:</w:t>
      </w:r>
    </w:p>
    <w:p w14:paraId="278D0820">
      <w:pPr>
        <w:spacing w:before="240" w:beforeAutospacing="0" w:after="24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The statistical tests provided quantitative support for the EDA observations:</w:t>
      </w:r>
    </w:p>
    <w:p w14:paraId="21CB92B8">
      <w:pPr>
        <w:pStyle w:val="14"/>
        <w:numPr>
          <w:ilvl w:val="0"/>
          <w:numId w:val="12"/>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Gender-Based T-Test Results:</w:t>
      </w:r>
      <w:r>
        <w:rPr>
          <w:rFonts w:ascii="Times New Roman" w:hAnsi="Times New Roman" w:eastAsia="Times New Roman" w:cs="Times New Roman"/>
          <w:sz w:val="28"/>
          <w:szCs w:val="28"/>
          <w:lang w:val="en-US"/>
        </w:rPr>
        <w:t xml:space="preserve"> The T-test confirmed a statistically significant difference in mortality rates between genders. This finding emphasizes that gender is not merely a demographic detail but a factor of consequence in COVID-19 outcomes.</w:t>
      </w:r>
    </w:p>
    <w:p w14:paraId="38510AAE">
      <w:pPr>
        <w:pStyle w:val="14"/>
        <w:numPr>
          <w:ilvl w:val="0"/>
          <w:numId w:val="12"/>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Descriptive Statistics for Age Group Mortality:</w:t>
      </w:r>
      <w:r>
        <w:rPr>
          <w:rFonts w:ascii="Times New Roman" w:hAnsi="Times New Roman" w:eastAsia="Times New Roman" w:cs="Times New Roman"/>
          <w:sz w:val="28"/>
          <w:szCs w:val="28"/>
          <w:lang w:val="en-US"/>
        </w:rPr>
        <w:t xml:space="preserve"> Mean and median mortality rates for each age group helped to identify the mortality trend clearly, with individuals over 60 showing substantially higher averages. This statistical detail reinforces age as a core factor in COVID-19 risk assessment.</w:t>
      </w:r>
    </w:p>
    <w:p w14:paraId="1E55B97B">
      <w:pPr>
        <w:spacing w:line="480" w:lineRule="auto"/>
        <w:ind w:firstLine="0"/>
        <w:jc w:val="both"/>
        <w:rPr>
          <w:rFonts w:ascii="Times New Roman" w:hAnsi="Times New Roman" w:eastAsia="Times New Roman" w:cs="Times New Roman"/>
          <w:sz w:val="28"/>
          <w:szCs w:val="28"/>
          <w:lang w:val="en-US"/>
        </w:rPr>
      </w:pPr>
    </w:p>
    <w:p w14:paraId="387978BD">
      <w:pPr>
        <w:spacing w:line="480" w:lineRule="auto"/>
        <w:jc w:val="both"/>
        <w:rPr>
          <w:rFonts w:ascii="Bookman Old Style" w:hAnsi="Bookman Old Style"/>
          <w:b/>
          <w:bCs/>
          <w:sz w:val="28"/>
          <w:szCs w:val="28"/>
        </w:rPr>
      </w:pPr>
      <w:r>
        <w:rPr>
          <w:rFonts w:ascii="Bookman Old Style" w:hAnsi="Bookman Old Style"/>
          <w:b/>
          <w:bCs/>
          <w:sz w:val="28"/>
          <w:szCs w:val="28"/>
        </w:rPr>
        <w:t>4.4 Result of Cox Regression model:</w:t>
      </w:r>
    </w:p>
    <w:p w14:paraId="3EC1F158">
      <w:pPr>
        <w:spacing w:before="240" w:beforeAutospacing="0" w:after="24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The Cox model provided a predictive layer, offering insights into how age and gender impact survival probability over time:</w:t>
      </w:r>
    </w:p>
    <w:p w14:paraId="2B514C59">
      <w:pPr>
        <w:pStyle w:val="14"/>
        <w:numPr>
          <w:ilvl w:val="0"/>
          <w:numId w:val="13"/>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Age Effect on Hazard Ratio:</w:t>
      </w:r>
      <w:r>
        <w:rPr>
          <w:rFonts w:ascii="Times New Roman" w:hAnsi="Times New Roman" w:eastAsia="Times New Roman" w:cs="Times New Roman"/>
          <w:sz w:val="28"/>
          <w:szCs w:val="28"/>
          <w:lang w:val="en-US"/>
        </w:rPr>
        <w:t xml:space="preserve"> The analysis showed a clear trend—higher age correlated with increased mortality risk. For every unit increase in age, the hazard ratio increased, showing that each additional year of age added a quantifiable risk.</w:t>
      </w:r>
    </w:p>
    <w:p w14:paraId="011DA5F4">
      <w:pPr>
        <w:pStyle w:val="14"/>
        <w:numPr>
          <w:ilvl w:val="0"/>
          <w:numId w:val="13"/>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Gender Influence on Mortality:</w:t>
      </w:r>
      <w:r>
        <w:rPr>
          <w:rFonts w:ascii="Times New Roman" w:hAnsi="Times New Roman" w:eastAsia="Times New Roman" w:cs="Times New Roman"/>
          <w:sz w:val="28"/>
          <w:szCs w:val="28"/>
          <w:lang w:val="en-US"/>
        </w:rPr>
        <w:t xml:space="preserve"> Gender was a significant variable in the model, with males exhibiting a higher hazard ratio. This aligns with observed trends in COVID-19 data globally and suggests that men have an elevated baseline risk of severe outcomes.</w:t>
      </w:r>
    </w:p>
    <w:p w14:paraId="4CDA4FD0">
      <w:pPr>
        <w:pStyle w:val="14"/>
        <w:numPr>
          <w:ilvl w:val="0"/>
          <w:numId w:val="13"/>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Kaplan-Meier Survival Curves:</w:t>
      </w:r>
      <w:r>
        <w:rPr>
          <w:rFonts w:ascii="Times New Roman" w:hAnsi="Times New Roman" w:eastAsia="Times New Roman" w:cs="Times New Roman"/>
          <w:sz w:val="28"/>
          <w:szCs w:val="28"/>
          <w:lang w:val="en-US"/>
        </w:rPr>
        <w:t xml:space="preserve"> The survival curves revealed that females had a higher probability of survival over time compared to males. This visual representation helped clarify that, while both genders were affected by COVID-19, the survival rates differed significantly.</w:t>
      </w:r>
    </w:p>
    <w:p w14:paraId="78B603A6">
      <w:pPr>
        <w:pStyle w:val="14"/>
        <w:spacing w:before="0" w:beforeAutospacing="0" w:after="0" w:afterAutospacing="0" w:line="480" w:lineRule="auto"/>
        <w:ind w:left="720"/>
        <w:jc w:val="both"/>
        <w:rPr>
          <w:rFonts w:ascii="Times New Roman" w:hAnsi="Times New Roman" w:eastAsia="Times New Roman" w:cs="Times New Roman"/>
          <w:sz w:val="28"/>
          <w:szCs w:val="28"/>
          <w:lang w:val="en-US"/>
        </w:rPr>
      </w:pPr>
    </w:p>
    <w:p w14:paraId="1EEB1E56">
      <w:pPr>
        <w:spacing w:line="480" w:lineRule="auto"/>
        <w:jc w:val="both"/>
        <w:rPr>
          <w:rFonts w:ascii="Bookman Old Style" w:hAnsi="Bookman Old Style"/>
          <w:b/>
          <w:bCs/>
          <w:sz w:val="28"/>
          <w:szCs w:val="28"/>
        </w:rPr>
      </w:pPr>
      <w:r>
        <w:rPr>
          <w:rFonts w:ascii="Bookman Old Style" w:hAnsi="Bookman Old Style"/>
          <w:b/>
          <w:bCs/>
          <w:sz w:val="28"/>
          <w:szCs w:val="28"/>
        </w:rPr>
        <w:t xml:space="preserve">4.5 </w:t>
      </w:r>
      <w:r>
        <w:rPr>
          <w:rFonts w:ascii="Bookman Old Style" w:hAnsi="Bookman Old Style" w:eastAsia="Bookman Old Style" w:cs="Bookman Old Style"/>
          <w:sz w:val="28"/>
          <w:szCs w:val="28"/>
          <w:lang w:val="en-IN"/>
        </w:rPr>
        <w:t>COVID-19 Mortality Dashboard</w:t>
      </w:r>
      <w:r>
        <w:rPr>
          <w:rFonts w:ascii="Bookman Old Style" w:hAnsi="Bookman Old Style"/>
          <w:b/>
          <w:bCs/>
          <w:sz w:val="28"/>
          <w:szCs w:val="28"/>
        </w:rPr>
        <w:t>:</w:t>
      </w:r>
    </w:p>
    <w:p w14:paraId="2A1A884E">
      <w:pPr>
        <w:spacing w:before="240" w:beforeAutospacing="0" w:after="240" w:afterAutospacing="0" w:line="480" w:lineRule="auto"/>
        <w:jc w:val="both"/>
      </w:pPr>
      <w:r>
        <w:rPr>
          <w:rFonts w:ascii="Times New Roman" w:hAnsi="Times New Roman" w:eastAsia="Times New Roman" w:cs="Times New Roman"/>
          <w:sz w:val="28"/>
          <w:szCs w:val="28"/>
          <w:lang w:val="en-US"/>
        </w:rPr>
        <w:t>The Shiny dashboard enabled an interactive and user-driven exploration of the data:</w:t>
      </w:r>
    </w:p>
    <w:p w14:paraId="5E2A13D0">
      <w:pPr>
        <w:pStyle w:val="14"/>
        <w:numPr>
          <w:ilvl w:val="0"/>
          <w:numId w:val="14"/>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Data Filtering Options:</w:t>
      </w:r>
      <w:r>
        <w:rPr>
          <w:rFonts w:ascii="Times New Roman" w:hAnsi="Times New Roman" w:eastAsia="Times New Roman" w:cs="Times New Roman"/>
          <w:sz w:val="28"/>
          <w:szCs w:val="28"/>
          <w:lang w:val="en-US"/>
        </w:rPr>
        <w:t xml:space="preserve"> Users could dynamically filter data by age and gender, providing a hands-on approach to data exploration. This feature proved particularly valuable for users interested in specific demographic slices.</w:t>
      </w:r>
    </w:p>
    <w:p w14:paraId="2EAA48AC">
      <w:pPr>
        <w:pStyle w:val="14"/>
        <w:numPr>
          <w:ilvl w:val="0"/>
          <w:numId w:val="14"/>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Graphical Representation of Survival and Mortality Data:</w:t>
      </w:r>
      <w:r>
        <w:rPr>
          <w:rFonts w:ascii="Times New Roman" w:hAnsi="Times New Roman" w:eastAsia="Times New Roman" w:cs="Times New Roman"/>
          <w:sz w:val="28"/>
          <w:szCs w:val="28"/>
          <w:lang w:val="en-US"/>
        </w:rPr>
        <w:t xml:space="preserve"> The interactive graphs and Kaplan-Meier curves offered intuitive and accessible insights into age and gender impacts. Users could visualize the survival probabilities and understand mortality risk changes across demographic groups.</w:t>
      </w:r>
    </w:p>
    <w:p w14:paraId="3154A332">
      <w:pPr>
        <w:pStyle w:val="14"/>
        <w:numPr>
          <w:ilvl w:val="0"/>
          <w:numId w:val="14"/>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Usability for Policymakers and Researchers:</w:t>
      </w:r>
      <w:r>
        <w:rPr>
          <w:rFonts w:ascii="Times New Roman" w:hAnsi="Times New Roman" w:eastAsia="Times New Roman" w:cs="Times New Roman"/>
          <w:sz w:val="28"/>
          <w:szCs w:val="28"/>
          <w:lang w:val="en-US"/>
        </w:rPr>
        <w:t xml:space="preserve"> The dashboard offers a practical resource for policymakers and healthcare researchers, who can quickly access, filter, and interpret relevant COVID-19 data. This utility makes it a potentially valuable tool for evidence-based decision-making in healthcare resource allocation.</w:t>
      </w:r>
    </w:p>
    <w:p w14:paraId="66942A47">
      <w:pPr>
        <w:spacing w:line="480" w:lineRule="auto"/>
        <w:ind w:firstLine="360"/>
        <w:jc w:val="both"/>
      </w:pPr>
    </w:p>
    <w:p w14:paraId="60CBE851">
      <w:pPr>
        <w:spacing w:line="480" w:lineRule="auto"/>
        <w:jc w:val="both"/>
      </w:pPr>
    </w:p>
    <w:p w14:paraId="500DD158">
      <w:pPr>
        <w:spacing w:line="480" w:lineRule="auto"/>
        <w:jc w:val="both"/>
      </w:pPr>
      <w:r>
        <w:drawing>
          <wp:inline distT="0" distB="0" distL="114300" distR="114300">
            <wp:extent cx="5723255" cy="3124200"/>
            <wp:effectExtent l="0" t="0" r="0" b="0"/>
            <wp:docPr id="1372383088" name="Picture 137238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83088" name="Picture 137238308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3888" cy="3124200"/>
                    </a:xfrm>
                    <a:prstGeom prst="rect">
                      <a:avLst/>
                    </a:prstGeom>
                  </pic:spPr>
                </pic:pic>
              </a:graphicData>
            </a:graphic>
          </wp:inline>
        </w:drawing>
      </w:r>
      <w:r>
        <w:drawing>
          <wp:inline distT="0" distB="0" distL="114300" distR="114300">
            <wp:extent cx="5723890" cy="2114550"/>
            <wp:effectExtent l="0" t="0" r="0" b="0"/>
            <wp:docPr id="1303770696" name="Picture 130377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70696" name="Picture 130377069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4" cy="2114550"/>
                    </a:xfrm>
                    <a:prstGeom prst="rect">
                      <a:avLst/>
                    </a:prstGeom>
                  </pic:spPr>
                </pic:pic>
              </a:graphicData>
            </a:graphic>
          </wp:inline>
        </w:drawing>
      </w:r>
      <w:r>
        <w:drawing>
          <wp:inline distT="0" distB="0" distL="114300" distR="114300">
            <wp:extent cx="5723890" cy="1809750"/>
            <wp:effectExtent l="0" t="0" r="0" b="0"/>
            <wp:docPr id="90531644" name="Picture 9053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4" name="Picture 9053164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4524" cy="1809750"/>
                    </a:xfrm>
                    <a:prstGeom prst="rect">
                      <a:avLst/>
                    </a:prstGeom>
                  </pic:spPr>
                </pic:pic>
              </a:graphicData>
            </a:graphic>
          </wp:inline>
        </w:drawing>
      </w:r>
      <w:r>
        <w:drawing>
          <wp:inline distT="0" distB="0" distL="114300" distR="114300">
            <wp:extent cx="5723890" cy="1724025"/>
            <wp:effectExtent l="0" t="0" r="0" b="0"/>
            <wp:docPr id="1589553314" name="Picture 158955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53314" name="Picture 15895533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4524" cy="1724025"/>
                    </a:xfrm>
                    <a:prstGeom prst="rect">
                      <a:avLst/>
                    </a:prstGeom>
                  </pic:spPr>
                </pic:pic>
              </a:graphicData>
            </a:graphic>
          </wp:inline>
        </w:drawing>
      </w:r>
    </w:p>
    <w:p w14:paraId="62DE6730">
      <w:pPr>
        <w:spacing w:line="480" w:lineRule="auto"/>
        <w:jc w:val="both"/>
        <w:rPr>
          <w:rFonts w:ascii="Bookman Old Style" w:hAnsi="Bookman Old Style"/>
          <w:b/>
          <w:bCs/>
          <w:sz w:val="40"/>
          <w:szCs w:val="40"/>
        </w:rPr>
      </w:pPr>
      <w:r>
        <w:rPr>
          <w:rFonts w:ascii="Bookman Old Style" w:hAnsi="Bookman Old Style"/>
          <w:b/>
          <w:bCs/>
          <w:sz w:val="40"/>
          <w:szCs w:val="40"/>
        </w:rPr>
        <w:t>Chapter 5 – Conclusion and Future Scope</w:t>
      </w:r>
    </w:p>
    <w:p w14:paraId="09298CFC">
      <w:pPr>
        <w:spacing w:line="480" w:lineRule="auto"/>
        <w:jc w:val="both"/>
        <w:rPr>
          <w:rFonts w:ascii="Bookman Old Style" w:hAnsi="Bookman Old Style"/>
          <w:b/>
          <w:bCs/>
          <w:sz w:val="28"/>
          <w:szCs w:val="28"/>
        </w:rPr>
      </w:pPr>
      <w:r>
        <w:rPr>
          <w:rFonts w:ascii="Bookman Old Style" w:hAnsi="Bookman Old Style"/>
          <w:b/>
          <w:bCs/>
          <w:sz w:val="28"/>
          <w:szCs w:val="28"/>
        </w:rPr>
        <w:t>5.1 Conclusion:</w:t>
      </w:r>
    </w:p>
    <w:p w14:paraId="17C04FB1">
      <w:pPr>
        <w:spacing w:before="240" w:beforeAutospacing="0" w:after="240" w:afterAutospacing="0" w:line="480" w:lineRule="auto"/>
        <w:jc w:val="both"/>
        <w:rPr>
          <w:rFonts w:ascii="Bookman Old Style" w:hAnsi="Bookman Old Style"/>
          <w:b/>
          <w:bCs/>
          <w:sz w:val="28"/>
          <w:szCs w:val="28"/>
        </w:rPr>
      </w:pPr>
      <w:r>
        <w:rPr>
          <w:rFonts w:ascii="Times New Roman" w:hAnsi="Times New Roman" w:eastAsia="Times New Roman" w:cs="Times New Roman"/>
          <w:sz w:val="28"/>
          <w:szCs w:val="28"/>
          <w:lang w:val="en-US"/>
        </w:rPr>
        <w:t>This study established that age and gender are significant factors influencing COVID-19 mortality risk. Specifically:</w:t>
      </w:r>
    </w:p>
    <w:p w14:paraId="1C2175AF">
      <w:pPr>
        <w:pStyle w:val="14"/>
        <w:numPr>
          <w:ilvl w:val="0"/>
          <w:numId w:val="15"/>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Age as a Critical Mortality Factor:</w:t>
      </w:r>
      <w:r>
        <w:rPr>
          <w:rFonts w:ascii="Times New Roman" w:hAnsi="Times New Roman" w:eastAsia="Times New Roman" w:cs="Times New Roman"/>
          <w:sz w:val="28"/>
          <w:szCs w:val="28"/>
          <w:lang w:val="en-US"/>
        </w:rPr>
        <w:t xml:space="preserve"> The findings confirmed that older individuals face a disproportionately higher risk of severe COVID-19 outcomes. The increase in mortality risk with age underscores the need for age-based protective measures, particularly in older populations.</w:t>
      </w:r>
    </w:p>
    <w:p w14:paraId="6F224118">
      <w:pPr>
        <w:pStyle w:val="14"/>
        <w:numPr>
          <w:ilvl w:val="0"/>
          <w:numId w:val="15"/>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Gender Differences in COVID-19 Outcomes:</w:t>
      </w:r>
      <w:r>
        <w:rPr>
          <w:rFonts w:ascii="Times New Roman" w:hAnsi="Times New Roman" w:eastAsia="Times New Roman" w:cs="Times New Roman"/>
          <w:sz w:val="28"/>
          <w:szCs w:val="28"/>
          <w:lang w:val="en-US"/>
        </w:rPr>
        <w:t xml:space="preserve"> Males showed a higher risk of mortality, a pattern observed in other studies, possibly due to both biological predispositions and behavioral factors. The identification of this gender-based vulnerability suggests that targeted interventions for male demographics could improve overall outcomes.</w:t>
      </w:r>
    </w:p>
    <w:p w14:paraId="01DDB16D">
      <w:pPr>
        <w:pStyle w:val="14"/>
        <w:numPr>
          <w:ilvl w:val="0"/>
          <w:numId w:val="15"/>
        </w:numPr>
        <w:spacing w:before="0" w:beforeAutospacing="0" w:after="0" w:afterAutospacing="0" w:line="48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b/>
          <w:bCs/>
          <w:sz w:val="28"/>
          <w:szCs w:val="28"/>
          <w:lang w:val="en-US"/>
        </w:rPr>
        <w:t>Dashboard Utility and Insights:</w:t>
      </w:r>
      <w:r>
        <w:rPr>
          <w:rFonts w:ascii="Times New Roman" w:hAnsi="Times New Roman" w:eastAsia="Times New Roman" w:cs="Times New Roman"/>
          <w:sz w:val="28"/>
          <w:szCs w:val="28"/>
          <w:lang w:val="en-US"/>
        </w:rPr>
        <w:t xml:space="preserve"> The interactive dashboard provides users with the flexibility to explore demographic nuances in COVID-19 data, offering real-time insights. This tool could be particularly valuable in understanding pandemic trends and supporting targeted public health responses.</w:t>
      </w:r>
    </w:p>
    <w:p w14:paraId="6596A5C8">
      <w:pPr>
        <w:spacing w:before="0" w:beforeAutospacing="0" w:after="0" w:afterAutospacing="0" w:line="480" w:lineRule="auto"/>
        <w:jc w:val="both"/>
        <w:rPr>
          <w:rFonts w:ascii="Times New Roman" w:hAnsi="Times New Roman" w:eastAsia="Times New Roman" w:cs="Times New Roman"/>
          <w:sz w:val="28"/>
          <w:szCs w:val="28"/>
          <w:lang w:val="en-US"/>
        </w:rPr>
      </w:pPr>
    </w:p>
    <w:p w14:paraId="327FBD5F">
      <w:pPr>
        <w:spacing w:before="0" w:beforeAutospacing="0" w:after="0" w:afterAutospacing="0" w:line="480" w:lineRule="auto"/>
        <w:jc w:val="both"/>
        <w:rPr>
          <w:rFonts w:ascii="Times New Roman" w:hAnsi="Times New Roman" w:eastAsia="Times New Roman" w:cs="Times New Roman"/>
          <w:sz w:val="28"/>
          <w:szCs w:val="28"/>
          <w:lang w:val="en-US"/>
        </w:rPr>
      </w:pPr>
    </w:p>
    <w:p w14:paraId="27BF785E">
      <w:pPr>
        <w:spacing w:line="480" w:lineRule="auto"/>
        <w:jc w:val="both"/>
        <w:rPr>
          <w:rFonts w:ascii="Times New Roman" w:hAnsi="Times New Roman" w:eastAsia="Times New Roman" w:cs="Times New Roman"/>
          <w:sz w:val="28"/>
          <w:szCs w:val="28"/>
          <w:lang w:val="en-US"/>
        </w:rPr>
      </w:pPr>
    </w:p>
    <w:p w14:paraId="0B9915A3">
      <w:pPr>
        <w:spacing w:line="480" w:lineRule="auto"/>
        <w:jc w:val="both"/>
        <w:rPr>
          <w:rFonts w:ascii="Bookman Old Style" w:hAnsi="Bookman Old Style"/>
          <w:b/>
          <w:bCs/>
          <w:sz w:val="28"/>
          <w:szCs w:val="28"/>
        </w:rPr>
      </w:pPr>
      <w:r>
        <w:rPr>
          <w:rFonts w:ascii="Bookman Old Style" w:hAnsi="Bookman Old Style"/>
          <w:b/>
          <w:bCs/>
          <w:sz w:val="28"/>
          <w:szCs w:val="28"/>
        </w:rPr>
        <w:t>5.2 Future Sope:</w:t>
      </w:r>
    </w:p>
    <w:p w14:paraId="1CA4C9E6">
      <w:pPr>
        <w:spacing w:before="240" w:beforeAutospacing="0" w:after="240" w:afterAutospacing="0" w:line="480" w:lineRule="auto"/>
        <w:jc w:val="both"/>
        <w:rPr>
          <w:rFonts w:ascii="Bookman Old Style" w:hAnsi="Bookman Old Style"/>
          <w:sz w:val="24"/>
          <w:szCs w:val="24"/>
        </w:rPr>
      </w:pPr>
      <w:r>
        <w:rPr>
          <w:rFonts w:ascii="Times New Roman" w:hAnsi="Times New Roman" w:eastAsia="Times New Roman" w:cs="Times New Roman"/>
          <w:sz w:val="28"/>
          <w:szCs w:val="28"/>
          <w:lang w:val="en-IN"/>
        </w:rPr>
        <w:t>This study established that age and gender are significant factors influencing COVID-19 mortality risk. Specifically:</w:t>
      </w:r>
    </w:p>
    <w:p w14:paraId="650AA8A2">
      <w:pPr>
        <w:pStyle w:val="14"/>
        <w:numPr>
          <w:ilvl w:val="0"/>
          <w:numId w:val="16"/>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Age as a Critical Mortality Factor:</w:t>
      </w:r>
      <w:r>
        <w:rPr>
          <w:rFonts w:ascii="Times New Roman" w:hAnsi="Times New Roman" w:eastAsia="Times New Roman" w:cs="Times New Roman"/>
          <w:sz w:val="28"/>
          <w:szCs w:val="28"/>
          <w:lang w:val="en-IN"/>
        </w:rPr>
        <w:t xml:space="preserve"> The findings confirmed that older individuals face a disproportionately higher risk of severe COVID-19 outcomes. The increase in mortality risk with age underscores the need for age-based protective measures, particularly in older populations.</w:t>
      </w:r>
    </w:p>
    <w:p w14:paraId="55609A30">
      <w:pPr>
        <w:pStyle w:val="14"/>
        <w:numPr>
          <w:ilvl w:val="0"/>
          <w:numId w:val="16"/>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Gender Differences in COVID-19 Outcomes:</w:t>
      </w:r>
      <w:r>
        <w:rPr>
          <w:rFonts w:ascii="Times New Roman" w:hAnsi="Times New Roman" w:eastAsia="Times New Roman" w:cs="Times New Roman"/>
          <w:sz w:val="28"/>
          <w:szCs w:val="28"/>
          <w:lang w:val="en-IN"/>
        </w:rPr>
        <w:t xml:space="preserve"> Males showed a higher risk of mortality, a pattern observed in other studies, possibly due to both biological predispositions and behavioral factors. The identification of this gender-based vulnerability suggests that targeted interventions for male demographics could improve overall outcomes.</w:t>
      </w:r>
    </w:p>
    <w:p w14:paraId="090EBB34">
      <w:pPr>
        <w:pStyle w:val="14"/>
        <w:numPr>
          <w:ilvl w:val="0"/>
          <w:numId w:val="16"/>
        </w:numPr>
        <w:spacing w:before="0" w:beforeAutospacing="0" w:after="0" w:afterAutospacing="0" w:line="48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Dashboard Utility and Insights:</w:t>
      </w:r>
      <w:r>
        <w:rPr>
          <w:rFonts w:ascii="Times New Roman" w:hAnsi="Times New Roman" w:eastAsia="Times New Roman" w:cs="Times New Roman"/>
          <w:sz w:val="28"/>
          <w:szCs w:val="28"/>
          <w:lang w:val="en-IN"/>
        </w:rPr>
        <w:t xml:space="preserve"> The interactive dashboard provides users with the flexibility to explore demographic nuances in COVID-19 data, offering real-time insights. This tool could be particularly valuable in understanding pandemic trends and supporting targeted public health responses.</w:t>
      </w:r>
    </w:p>
    <w:p w14:paraId="504ADBC8">
      <w:pPr>
        <w:spacing w:line="480" w:lineRule="auto"/>
        <w:jc w:val="both"/>
        <w:rPr>
          <w:rFonts w:ascii="Times New Roman" w:hAnsi="Times New Roman" w:eastAsia="Times New Roman" w:cs="Times New Roman"/>
          <w:sz w:val="28"/>
          <w:szCs w:val="28"/>
          <w:lang w:val="en-IN"/>
        </w:rPr>
      </w:pPr>
    </w:p>
    <w:sectPr>
      <w:headerReference r:id="rId6" w:type="first"/>
      <w:footerReference r:id="rId8" w:type="first"/>
      <w:headerReference r:id="rId5" w:type="default"/>
      <w:footerReference r:id="rId7" w:type="default"/>
      <w:pgSz w:w="11906" w:h="16838"/>
      <w:pgMar w:top="1440" w:right="1440" w:bottom="1440" w:left="1440" w:header="708" w:footer="708" w:gutter="0"/>
      <w:pgBorders w:display="firstPage" w:offsetFrom="page">
        <w:top w:val="single" w:color="auto" w:sz="4" w:space="24"/>
        <w:left w:val="single" w:color="auto" w:sz="4" w:space="24"/>
        <w:bottom w:val="single" w:color="auto" w:sz="4" w:space="24"/>
        <w:right w:val="single" w:color="auto" w:sz="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roman"/>
    <w:pitch w:val="default"/>
    <w:sig w:usb0="00000287" w:usb1="00000000" w:usb2="00000000" w:usb3="00000000" w:csb0="2000009F"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2A7FCA">
    <w:pPr>
      <w:pStyle w:val="6"/>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005"/>
      <w:gridCol w:w="3005"/>
      <w:gridCol w:w="3005"/>
    </w:tblGrid>
    <w:tr w14:paraId="7FB5FF6A">
      <w:tblPrEx>
        <w:tblCellMar>
          <w:top w:w="0" w:type="dxa"/>
          <w:left w:w="108" w:type="dxa"/>
          <w:bottom w:w="0" w:type="dxa"/>
          <w:right w:w="108" w:type="dxa"/>
        </w:tblCellMar>
      </w:tblPrEx>
      <w:trPr>
        <w:trHeight w:val="300" w:hRule="atLeast"/>
      </w:trPr>
      <w:tc>
        <w:tcPr>
          <w:tcW w:w="3005" w:type="dxa"/>
        </w:tcPr>
        <w:p w14:paraId="6552137D">
          <w:pPr>
            <w:pStyle w:val="7"/>
            <w:bidi w:val="0"/>
            <w:ind w:left="-115"/>
            <w:jc w:val="left"/>
          </w:pPr>
        </w:p>
      </w:tc>
      <w:tc>
        <w:tcPr>
          <w:tcW w:w="3005" w:type="dxa"/>
        </w:tcPr>
        <w:p w14:paraId="733F31B1">
          <w:pPr>
            <w:pStyle w:val="7"/>
            <w:bidi w:val="0"/>
            <w:jc w:val="center"/>
          </w:pPr>
        </w:p>
      </w:tc>
      <w:tc>
        <w:tcPr>
          <w:tcW w:w="3005" w:type="dxa"/>
        </w:tcPr>
        <w:p w14:paraId="06F48979">
          <w:pPr>
            <w:pStyle w:val="7"/>
            <w:bidi w:val="0"/>
            <w:ind w:right="-115"/>
            <w:jc w:val="right"/>
          </w:pPr>
        </w:p>
      </w:tc>
    </w:tr>
  </w:tbl>
  <w:p w14:paraId="09E87729">
    <w:pPr>
      <w:pStyle w:val="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FD31BB">
    <w:pPr>
      <w:pStyle w:val="7"/>
      <w:rPr>
        <w:rFonts w:ascii="Cambria" w:hAnsi="Cambria"/>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005"/>
      <w:gridCol w:w="3005"/>
      <w:gridCol w:w="3005"/>
    </w:tblGrid>
    <w:tr w14:paraId="29C43F41">
      <w:tblPrEx>
        <w:tblCellMar>
          <w:top w:w="0" w:type="dxa"/>
          <w:left w:w="108" w:type="dxa"/>
          <w:bottom w:w="0" w:type="dxa"/>
          <w:right w:w="108" w:type="dxa"/>
        </w:tblCellMar>
      </w:tblPrEx>
      <w:trPr>
        <w:trHeight w:val="300" w:hRule="atLeast"/>
      </w:trPr>
      <w:tc>
        <w:tcPr>
          <w:tcW w:w="3005" w:type="dxa"/>
        </w:tcPr>
        <w:p w14:paraId="0D98C588">
          <w:pPr>
            <w:pStyle w:val="7"/>
            <w:bidi w:val="0"/>
            <w:ind w:left="-115"/>
            <w:jc w:val="left"/>
          </w:pPr>
        </w:p>
      </w:tc>
      <w:tc>
        <w:tcPr>
          <w:tcW w:w="3005" w:type="dxa"/>
        </w:tcPr>
        <w:p w14:paraId="43B3239B">
          <w:pPr>
            <w:pStyle w:val="7"/>
            <w:bidi w:val="0"/>
            <w:jc w:val="center"/>
          </w:pPr>
        </w:p>
      </w:tc>
      <w:tc>
        <w:tcPr>
          <w:tcW w:w="3005" w:type="dxa"/>
        </w:tcPr>
        <w:p w14:paraId="512AFEF4">
          <w:pPr>
            <w:pStyle w:val="7"/>
            <w:bidi w:val="0"/>
            <w:ind w:right="-115"/>
            <w:jc w:val="right"/>
          </w:pPr>
        </w:p>
      </w:tc>
    </w:tr>
  </w:tbl>
  <w:p w14:paraId="480BEE4E">
    <w:pPr>
      <w:pStyle w:val="7"/>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E835D"/>
    <w:multiLevelType w:val="multilevel"/>
    <w:tmpl w:val="03BE83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F671B79"/>
    <w:multiLevelType w:val="multilevel"/>
    <w:tmpl w:val="0F671B79"/>
    <w:lvl w:ilvl="0" w:tentative="0">
      <w:start w:val="1"/>
      <w:numFmt w:val="decimal"/>
      <w:lvlText w:val="%1"/>
      <w:lvlJc w:val="left"/>
      <w:pPr>
        <w:ind w:left="456" w:hanging="45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
    <w:nsid w:val="112ECEB8"/>
    <w:multiLevelType w:val="multilevel"/>
    <w:tmpl w:val="112ECE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3C08E9"/>
    <w:multiLevelType w:val="multilevel"/>
    <w:tmpl w:val="133C08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0D3E449"/>
    <w:multiLevelType w:val="multilevel"/>
    <w:tmpl w:val="30D3E4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1ACB4FF"/>
    <w:multiLevelType w:val="multilevel"/>
    <w:tmpl w:val="31ACB4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2ABCCD1"/>
    <w:multiLevelType w:val="multilevel"/>
    <w:tmpl w:val="32ABCC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635DEE6"/>
    <w:multiLevelType w:val="multilevel"/>
    <w:tmpl w:val="3635DE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43462B04"/>
    <w:multiLevelType w:val="multilevel"/>
    <w:tmpl w:val="43462B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4BCB30FB"/>
    <w:multiLevelType w:val="multilevel"/>
    <w:tmpl w:val="4BCB30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50774178"/>
    <w:multiLevelType w:val="multilevel"/>
    <w:tmpl w:val="50774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59A4D422"/>
    <w:multiLevelType w:val="multilevel"/>
    <w:tmpl w:val="59A4D4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73C44E9"/>
    <w:multiLevelType w:val="multilevel"/>
    <w:tmpl w:val="673C44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12F989F"/>
    <w:multiLevelType w:val="multilevel"/>
    <w:tmpl w:val="712F98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7376833A"/>
    <w:multiLevelType w:val="multilevel"/>
    <w:tmpl w:val="737683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7437A47F"/>
    <w:multiLevelType w:val="multilevel"/>
    <w:tmpl w:val="7437A4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11"/>
  </w:num>
  <w:num w:numId="5">
    <w:abstractNumId w:val="9"/>
  </w:num>
  <w:num w:numId="6">
    <w:abstractNumId w:val="2"/>
  </w:num>
  <w:num w:numId="7">
    <w:abstractNumId w:val="4"/>
  </w:num>
  <w:num w:numId="8">
    <w:abstractNumId w:val="14"/>
  </w:num>
  <w:num w:numId="9">
    <w:abstractNumId w:val="12"/>
  </w:num>
  <w:num w:numId="10">
    <w:abstractNumId w:val="6"/>
  </w:num>
  <w:num w:numId="11">
    <w:abstractNumId w:val="8"/>
  </w:num>
  <w:num w:numId="12">
    <w:abstractNumId w:val="7"/>
  </w:num>
  <w:num w:numId="13">
    <w:abstractNumId w:val="10"/>
  </w:num>
  <w:num w:numId="14">
    <w:abstractNumId w:val="13"/>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E2"/>
    <w:rsid w:val="00012C93"/>
    <w:rsid w:val="00062147"/>
    <w:rsid w:val="000910F2"/>
    <w:rsid w:val="000D0109"/>
    <w:rsid w:val="001044FA"/>
    <w:rsid w:val="001362C8"/>
    <w:rsid w:val="00174432"/>
    <w:rsid w:val="001A3E77"/>
    <w:rsid w:val="001F6B73"/>
    <w:rsid w:val="00214BD8"/>
    <w:rsid w:val="00234E0C"/>
    <w:rsid w:val="00245D8E"/>
    <w:rsid w:val="00251F0C"/>
    <w:rsid w:val="00253BB2"/>
    <w:rsid w:val="00261FFE"/>
    <w:rsid w:val="0027149A"/>
    <w:rsid w:val="00283EC5"/>
    <w:rsid w:val="002A1D55"/>
    <w:rsid w:val="002B1EBB"/>
    <w:rsid w:val="002B229E"/>
    <w:rsid w:val="002D0FD8"/>
    <w:rsid w:val="002E22DA"/>
    <w:rsid w:val="00300F1E"/>
    <w:rsid w:val="0032370C"/>
    <w:rsid w:val="00327B97"/>
    <w:rsid w:val="00362598"/>
    <w:rsid w:val="00385476"/>
    <w:rsid w:val="00397163"/>
    <w:rsid w:val="00402346"/>
    <w:rsid w:val="00420E34"/>
    <w:rsid w:val="004278EC"/>
    <w:rsid w:val="00431C9A"/>
    <w:rsid w:val="00442982"/>
    <w:rsid w:val="00467341"/>
    <w:rsid w:val="0047705A"/>
    <w:rsid w:val="004C2749"/>
    <w:rsid w:val="00530AE2"/>
    <w:rsid w:val="00576905"/>
    <w:rsid w:val="00586B9F"/>
    <w:rsid w:val="005A0C01"/>
    <w:rsid w:val="006256FD"/>
    <w:rsid w:val="00693332"/>
    <w:rsid w:val="00697A24"/>
    <w:rsid w:val="006B162F"/>
    <w:rsid w:val="006C04E6"/>
    <w:rsid w:val="006D3C58"/>
    <w:rsid w:val="00764D1F"/>
    <w:rsid w:val="00784D0F"/>
    <w:rsid w:val="007C5160"/>
    <w:rsid w:val="007F1925"/>
    <w:rsid w:val="00885726"/>
    <w:rsid w:val="008B0B45"/>
    <w:rsid w:val="008B0E2B"/>
    <w:rsid w:val="008D732C"/>
    <w:rsid w:val="0092412E"/>
    <w:rsid w:val="009400CD"/>
    <w:rsid w:val="00941498"/>
    <w:rsid w:val="00942ADF"/>
    <w:rsid w:val="00982DCA"/>
    <w:rsid w:val="009A7FBA"/>
    <w:rsid w:val="009C2956"/>
    <w:rsid w:val="009E517B"/>
    <w:rsid w:val="009E7216"/>
    <w:rsid w:val="00A00F8F"/>
    <w:rsid w:val="00A17D44"/>
    <w:rsid w:val="00A20FBA"/>
    <w:rsid w:val="00A21F30"/>
    <w:rsid w:val="00A71C19"/>
    <w:rsid w:val="00A947B4"/>
    <w:rsid w:val="00A97420"/>
    <w:rsid w:val="00B238C6"/>
    <w:rsid w:val="00B3396B"/>
    <w:rsid w:val="00B35664"/>
    <w:rsid w:val="00B5269C"/>
    <w:rsid w:val="00B63789"/>
    <w:rsid w:val="00B90E93"/>
    <w:rsid w:val="00B962CF"/>
    <w:rsid w:val="00BA3521"/>
    <w:rsid w:val="00BA7EE7"/>
    <w:rsid w:val="00BC0D53"/>
    <w:rsid w:val="00BC69EA"/>
    <w:rsid w:val="00BF3C78"/>
    <w:rsid w:val="00C175E2"/>
    <w:rsid w:val="00C324B3"/>
    <w:rsid w:val="00C40FB9"/>
    <w:rsid w:val="00C46493"/>
    <w:rsid w:val="00C5BF5B"/>
    <w:rsid w:val="00C6730C"/>
    <w:rsid w:val="00C73813"/>
    <w:rsid w:val="00C921C5"/>
    <w:rsid w:val="00C92F6E"/>
    <w:rsid w:val="00C93508"/>
    <w:rsid w:val="00CA1374"/>
    <w:rsid w:val="00CA74EC"/>
    <w:rsid w:val="00CF1FE0"/>
    <w:rsid w:val="00D33691"/>
    <w:rsid w:val="00D62B34"/>
    <w:rsid w:val="00D71910"/>
    <w:rsid w:val="00D91D2C"/>
    <w:rsid w:val="00DB0EFB"/>
    <w:rsid w:val="00DD1354"/>
    <w:rsid w:val="00DE2E52"/>
    <w:rsid w:val="00DE6B04"/>
    <w:rsid w:val="00E24EA6"/>
    <w:rsid w:val="00E55C1C"/>
    <w:rsid w:val="00E67D97"/>
    <w:rsid w:val="00E73A4B"/>
    <w:rsid w:val="00E876BA"/>
    <w:rsid w:val="00EA5C25"/>
    <w:rsid w:val="00EB727C"/>
    <w:rsid w:val="00EC14FC"/>
    <w:rsid w:val="00EE3585"/>
    <w:rsid w:val="00F27A14"/>
    <w:rsid w:val="00F362FF"/>
    <w:rsid w:val="00F501C7"/>
    <w:rsid w:val="00F532D8"/>
    <w:rsid w:val="00F84731"/>
    <w:rsid w:val="00F9128E"/>
    <w:rsid w:val="00F920CA"/>
    <w:rsid w:val="00F9670D"/>
    <w:rsid w:val="00FC42D7"/>
    <w:rsid w:val="00FD63E0"/>
    <w:rsid w:val="01386769"/>
    <w:rsid w:val="0244629C"/>
    <w:rsid w:val="02950777"/>
    <w:rsid w:val="02E66588"/>
    <w:rsid w:val="0328EC8F"/>
    <w:rsid w:val="0382EB39"/>
    <w:rsid w:val="03AA2825"/>
    <w:rsid w:val="0409B5D9"/>
    <w:rsid w:val="05250A8C"/>
    <w:rsid w:val="062C8E68"/>
    <w:rsid w:val="06A2BC9D"/>
    <w:rsid w:val="06C3AE0A"/>
    <w:rsid w:val="07E65AAE"/>
    <w:rsid w:val="09158D7A"/>
    <w:rsid w:val="094C1983"/>
    <w:rsid w:val="094C670E"/>
    <w:rsid w:val="098444A2"/>
    <w:rsid w:val="09E01E0B"/>
    <w:rsid w:val="0A182928"/>
    <w:rsid w:val="0A50EFB5"/>
    <w:rsid w:val="0AEE49E8"/>
    <w:rsid w:val="0B222A7B"/>
    <w:rsid w:val="0B945CA2"/>
    <w:rsid w:val="0D3E66EE"/>
    <w:rsid w:val="0E50D371"/>
    <w:rsid w:val="1033CC3C"/>
    <w:rsid w:val="10E8C097"/>
    <w:rsid w:val="10F56551"/>
    <w:rsid w:val="11A01870"/>
    <w:rsid w:val="11E1D894"/>
    <w:rsid w:val="1217236C"/>
    <w:rsid w:val="13652404"/>
    <w:rsid w:val="13CFDA5F"/>
    <w:rsid w:val="14323B4B"/>
    <w:rsid w:val="15F99609"/>
    <w:rsid w:val="16008788"/>
    <w:rsid w:val="1608A37D"/>
    <w:rsid w:val="164BE343"/>
    <w:rsid w:val="165EFFDB"/>
    <w:rsid w:val="16F9C9B2"/>
    <w:rsid w:val="196E116D"/>
    <w:rsid w:val="1A563DC9"/>
    <w:rsid w:val="1B4B957B"/>
    <w:rsid w:val="1C530DA9"/>
    <w:rsid w:val="1C5A609D"/>
    <w:rsid w:val="1CC17AF7"/>
    <w:rsid w:val="1CD22396"/>
    <w:rsid w:val="1DD13D32"/>
    <w:rsid w:val="1E5C4924"/>
    <w:rsid w:val="1F0FB9E7"/>
    <w:rsid w:val="202A278C"/>
    <w:rsid w:val="209F755A"/>
    <w:rsid w:val="21011E87"/>
    <w:rsid w:val="214B1063"/>
    <w:rsid w:val="2245D1A1"/>
    <w:rsid w:val="22EED8AD"/>
    <w:rsid w:val="24115D07"/>
    <w:rsid w:val="24B2F1A7"/>
    <w:rsid w:val="266B740F"/>
    <w:rsid w:val="2714A336"/>
    <w:rsid w:val="274C8D06"/>
    <w:rsid w:val="27BCF51B"/>
    <w:rsid w:val="283E5B0A"/>
    <w:rsid w:val="287A32DB"/>
    <w:rsid w:val="287EA857"/>
    <w:rsid w:val="289549CD"/>
    <w:rsid w:val="29195274"/>
    <w:rsid w:val="2A3E5F2B"/>
    <w:rsid w:val="2AA38947"/>
    <w:rsid w:val="2ACFE3D8"/>
    <w:rsid w:val="2B2F1FF6"/>
    <w:rsid w:val="2B33F4C2"/>
    <w:rsid w:val="2B98D640"/>
    <w:rsid w:val="2BB73DF3"/>
    <w:rsid w:val="2C068CBA"/>
    <w:rsid w:val="2D2B7463"/>
    <w:rsid w:val="2D48D62B"/>
    <w:rsid w:val="2DAC3700"/>
    <w:rsid w:val="2F2FDB2C"/>
    <w:rsid w:val="2F6F030C"/>
    <w:rsid w:val="31074891"/>
    <w:rsid w:val="3110EA0E"/>
    <w:rsid w:val="33E120BA"/>
    <w:rsid w:val="3474686B"/>
    <w:rsid w:val="34CCC9A2"/>
    <w:rsid w:val="35D4B851"/>
    <w:rsid w:val="3639395A"/>
    <w:rsid w:val="3759D481"/>
    <w:rsid w:val="3A3DA6AD"/>
    <w:rsid w:val="3B56C2C8"/>
    <w:rsid w:val="3C6B4685"/>
    <w:rsid w:val="3CD6EBEE"/>
    <w:rsid w:val="3CF463F6"/>
    <w:rsid w:val="3D2C2E72"/>
    <w:rsid w:val="3D3CDA23"/>
    <w:rsid w:val="3E957C1A"/>
    <w:rsid w:val="3ECD0B7B"/>
    <w:rsid w:val="3EEDC6E6"/>
    <w:rsid w:val="3F1F4327"/>
    <w:rsid w:val="3F5DD304"/>
    <w:rsid w:val="41227331"/>
    <w:rsid w:val="419BCBEF"/>
    <w:rsid w:val="4242762C"/>
    <w:rsid w:val="42E043FE"/>
    <w:rsid w:val="4309B1DA"/>
    <w:rsid w:val="43790CE2"/>
    <w:rsid w:val="43DD4AE8"/>
    <w:rsid w:val="45DE826F"/>
    <w:rsid w:val="464B1611"/>
    <w:rsid w:val="47023D61"/>
    <w:rsid w:val="4776182B"/>
    <w:rsid w:val="47D71A25"/>
    <w:rsid w:val="47F9CDB0"/>
    <w:rsid w:val="486B1028"/>
    <w:rsid w:val="49551F3B"/>
    <w:rsid w:val="49CB7D73"/>
    <w:rsid w:val="49E40966"/>
    <w:rsid w:val="4A8773D4"/>
    <w:rsid w:val="4B06D436"/>
    <w:rsid w:val="4BCA803F"/>
    <w:rsid w:val="4E7C21BF"/>
    <w:rsid w:val="4EAA2ED2"/>
    <w:rsid w:val="4F43D106"/>
    <w:rsid w:val="51835ECF"/>
    <w:rsid w:val="51884C62"/>
    <w:rsid w:val="51966626"/>
    <w:rsid w:val="51DB1D18"/>
    <w:rsid w:val="51DD9E0C"/>
    <w:rsid w:val="51ECE943"/>
    <w:rsid w:val="52471C93"/>
    <w:rsid w:val="525DE941"/>
    <w:rsid w:val="5397711C"/>
    <w:rsid w:val="539D676A"/>
    <w:rsid w:val="54290549"/>
    <w:rsid w:val="54774085"/>
    <w:rsid w:val="566C1368"/>
    <w:rsid w:val="57F091B3"/>
    <w:rsid w:val="5947DD10"/>
    <w:rsid w:val="598AB0E1"/>
    <w:rsid w:val="5A2DBF1B"/>
    <w:rsid w:val="5A5367D8"/>
    <w:rsid w:val="5C2F1188"/>
    <w:rsid w:val="5C33D410"/>
    <w:rsid w:val="5EB96E82"/>
    <w:rsid w:val="5F4BC3A7"/>
    <w:rsid w:val="60DB294F"/>
    <w:rsid w:val="610AAE9B"/>
    <w:rsid w:val="61F04715"/>
    <w:rsid w:val="6214CB95"/>
    <w:rsid w:val="6294FDE2"/>
    <w:rsid w:val="63206224"/>
    <w:rsid w:val="64117C71"/>
    <w:rsid w:val="64625A02"/>
    <w:rsid w:val="6551EC52"/>
    <w:rsid w:val="6622516F"/>
    <w:rsid w:val="66274661"/>
    <w:rsid w:val="67140AF1"/>
    <w:rsid w:val="6722B79A"/>
    <w:rsid w:val="672DF9FD"/>
    <w:rsid w:val="683DCED1"/>
    <w:rsid w:val="68C67398"/>
    <w:rsid w:val="68D14CF5"/>
    <w:rsid w:val="69029F7B"/>
    <w:rsid w:val="69700316"/>
    <w:rsid w:val="6A7B36EF"/>
    <w:rsid w:val="6ABE1F72"/>
    <w:rsid w:val="6B3E6A6A"/>
    <w:rsid w:val="6B476C51"/>
    <w:rsid w:val="6BE1BAB8"/>
    <w:rsid w:val="6C0F81FC"/>
    <w:rsid w:val="6F4BF3A8"/>
    <w:rsid w:val="6F7EE204"/>
    <w:rsid w:val="70D10F54"/>
    <w:rsid w:val="7168F26D"/>
    <w:rsid w:val="71D8CAE5"/>
    <w:rsid w:val="71FCEDFA"/>
    <w:rsid w:val="73289F18"/>
    <w:rsid w:val="73BDBC29"/>
    <w:rsid w:val="740BF433"/>
    <w:rsid w:val="740C8220"/>
    <w:rsid w:val="746E4A69"/>
    <w:rsid w:val="756C3775"/>
    <w:rsid w:val="75D77C9C"/>
    <w:rsid w:val="75FBC1B9"/>
    <w:rsid w:val="771E498C"/>
    <w:rsid w:val="7826F9B8"/>
    <w:rsid w:val="7854710B"/>
    <w:rsid w:val="78CF3779"/>
    <w:rsid w:val="797E1DC7"/>
    <w:rsid w:val="7A9539D6"/>
    <w:rsid w:val="7AA4EFDE"/>
    <w:rsid w:val="7AAB85B4"/>
    <w:rsid w:val="7C60DB96"/>
    <w:rsid w:val="7E73610A"/>
    <w:rsid w:val="7E954224"/>
    <w:rsid w:val="7EFFA8BF"/>
    <w:rsid w:val="7F0703EB"/>
    <w:rsid w:val="7F3FB6D0"/>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ko-KR"/>
      <w14:ligatures w14:val="none"/>
    </w:rPr>
  </w:style>
  <w:style w:type="paragraph" w:styleId="3">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513"/>
        <w:tab w:val="right" w:pos="9026"/>
      </w:tabs>
      <w:spacing w:after="0" w:line="240" w:lineRule="auto"/>
    </w:pPr>
  </w:style>
  <w:style w:type="paragraph" w:styleId="7">
    <w:name w:val="header"/>
    <w:basedOn w:val="1"/>
    <w:link w:val="12"/>
    <w:unhideWhenUsed/>
    <w:uiPriority w:val="99"/>
    <w:pPr>
      <w:tabs>
        <w:tab w:val="center" w:pos="4513"/>
        <w:tab w:val="right" w:pos="9026"/>
      </w:tabs>
      <w:spacing w:after="0" w:line="240" w:lineRule="auto"/>
    </w:pPr>
  </w:style>
  <w:style w:type="character" w:styleId="8">
    <w:name w:val="Hyperlink"/>
    <w:basedOn w:val="4"/>
    <w:unhideWhenUsed/>
    <w:uiPriority w:val="99"/>
    <w:rPr>
      <w:color w:val="0000FF"/>
      <w:u w:val="single"/>
    </w:rPr>
  </w:style>
  <w:style w:type="paragraph" w:styleId="9">
    <w:name w:val="Normal (Web)"/>
    <w:basedOn w:val="1"/>
    <w:semiHidden/>
    <w:unhideWhenUsed/>
    <w:uiPriority w:val="99"/>
    <w:rPr>
      <w:rFonts w:ascii="Times New Roman" w:hAnsi="Times New Roman" w:cs="Times New Roman"/>
      <w:sz w:val="24"/>
      <w:szCs w:val="24"/>
    </w:rPr>
  </w:style>
  <w:style w:type="character" w:styleId="10">
    <w:name w:val="Strong"/>
    <w:basedOn w:val="4"/>
    <w:qFormat/>
    <w:uiPriority w:val="22"/>
    <w:rPr>
      <w:b/>
      <w:bCs/>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4"/>
    <w:link w:val="7"/>
    <w:uiPriority w:val="99"/>
  </w:style>
  <w:style w:type="character" w:customStyle="1" w:styleId="13">
    <w:name w:val="Footer Char"/>
    <w:basedOn w:val="4"/>
    <w:link w:val="6"/>
    <w:uiPriority w:val="99"/>
  </w:style>
  <w:style w:type="paragraph" w:styleId="14">
    <w:name w:val="List Paragraph"/>
    <w:basedOn w:val="1"/>
    <w:qFormat/>
    <w:uiPriority w:val="34"/>
    <w:pPr>
      <w:ind w:left="720"/>
      <w:contextualSpacing/>
    </w:pPr>
  </w:style>
  <w:style w:type="character" w:customStyle="1" w:styleId="15">
    <w:name w:val="ilfuvd"/>
    <w:basedOn w:val="4"/>
    <w:qFormat/>
    <w:uiPriority w:val="0"/>
  </w:style>
  <w:style w:type="character" w:customStyle="1" w:styleId="16">
    <w:name w:val="Heading 2 Char"/>
    <w:basedOn w:val="4"/>
    <w:link w:val="2"/>
    <w:uiPriority w:val="9"/>
    <w:rPr>
      <w:rFonts w:ascii="Times New Roman" w:hAnsi="Times New Roman" w:eastAsia="Times New Roman" w:cs="Times New Roman"/>
      <w:b/>
      <w:bCs/>
      <w:kern w:val="0"/>
      <w:sz w:val="36"/>
      <w:szCs w:val="36"/>
      <w:lang w:eastAsia="ko-KR"/>
      <w14:ligatures w14:val="none"/>
    </w:rPr>
  </w:style>
  <w:style w:type="character" w:customStyle="1" w:styleId="17">
    <w:name w:val="Unresolved Mention"/>
    <w:basedOn w:val="4"/>
    <w:semiHidden/>
    <w:unhideWhenUsed/>
    <w:uiPriority w:val="99"/>
    <w:rPr>
      <w:color w:val="605E5C"/>
      <w:shd w:val="clear" w:color="auto" w:fill="E1DFDD"/>
    </w:rPr>
  </w:style>
  <w:style w:type="character" w:customStyle="1" w:styleId="18">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table" w:customStyle="1" w:styleId="19">
    <w:name w:val="Grid Table Light"/>
    <w:basedOn w:val="5"/>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00A3-193C-4DE9-80D2-BAA76A519F6A}">
  <ds:schemaRefs/>
</ds:datastoreItem>
</file>

<file path=docProps/app.xml><?xml version="1.0" encoding="utf-8"?>
<Properties xmlns="http://schemas.openxmlformats.org/officeDocument/2006/extended-properties" xmlns:vt="http://schemas.openxmlformats.org/officeDocument/2006/docPropsVTypes">
  <Template>Normal</Template>
  <Pages>14</Pages>
  <TotalTime>1</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2024-10-17T17:02:00Z</dcterms:created>
  <dc:creator>VIJAYALAXMI BANKAR</dc:creator>
  <cp:lastModifiedBy>Siddh Wagawad</cp:lastModifiedBy>
  <dcterms:modified xsi:type="dcterms:W3CDTF">2025-02-13T14:28:10Z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9650EA7A80024617A4FC94096B111B1B_13</vt:lpwstr>
  </property>
</Properties>
</file>