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0A3722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Docent 1: </w:t>
            </w:r>
            <w:r w:rsidRPr="00134FE0">
              <w:rPr>
                <w:b/>
                <w:sz w:val="22"/>
                <w:lang w:val="nl-NL"/>
              </w:rPr>
              <w:t xml:space="preserve">  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05524439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ICT.P.KB</w:t>
            </w:r>
            <w:r w:rsidR="0023565E">
              <w:rPr>
                <w:sz w:val="22"/>
                <w:lang w:val="nl-NL"/>
              </w:rPr>
              <w:t>Sa.V20</w:t>
            </w:r>
            <w:r>
              <w:rPr>
                <w:sz w:val="22"/>
                <w:lang w:val="nl-NL"/>
              </w:rPr>
              <w:t xml:space="preserve"> en </w:t>
            </w:r>
            <w:r w:rsidRPr="009D4D12">
              <w:rPr>
                <w:sz w:val="22"/>
                <w:lang w:val="nl-NL"/>
              </w:rPr>
              <w:t>ICT.P.KB</w:t>
            </w:r>
            <w:r w:rsidR="0023565E">
              <w:rPr>
                <w:sz w:val="22"/>
                <w:lang w:val="nl-NL"/>
              </w:rPr>
              <w:t>Sb.V20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showingPlcHdr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Pr="00134FE0">
                  <w:rPr>
                    <w:rStyle w:val="Tekstvantijdelijkeaanduiding"/>
                    <w:sz w:val="22"/>
                    <w:lang w:val="nl-NL"/>
                  </w:rPr>
                  <w:t>&lt;datum assessment&gt;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2E1D4060" w:rsidR="00D63711" w:rsidRPr="00134FE0" w:rsidRDefault="00D63711" w:rsidP="0023565E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20-09-14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3565E">
                  <w:rPr>
                    <w:sz w:val="22"/>
                    <w:lang w:val="nl-NL"/>
                  </w:rPr>
                  <w:t>14 september 2020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21-01-04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3565E">
                  <w:rPr>
                    <w:sz w:val="22"/>
                    <w:lang w:val="nl-NL"/>
                  </w:rPr>
                  <w:t>4 januari 2021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elraster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77777777" w:rsidR="00D63711" w:rsidRPr="00CE3FAD" w:rsidRDefault="00D63711" w:rsidP="00D63711">
            <w:pPr>
              <w:pStyle w:val="Geenafstand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18403040" w:rsidR="00D63711" w:rsidRPr="00134FE0" w:rsidRDefault="0095342A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1162019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03742378" w:rsidR="00D63711" w:rsidRPr="00CE3FAD" w:rsidRDefault="0095342A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Ivar Post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 xml:space="preserve">hardware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95342A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DB32CC4" w14:textId="6ECE876C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 w:rsidRPr="0095342A">
              <w:rPr>
                <w:rFonts w:asciiTheme="minorHAnsi" w:hAnsiTheme="minorHAnsi" w:cstheme="minorHAnsi"/>
                <w:color w:val="auto"/>
                <w:sz w:val="20"/>
                <w:szCs w:val="22"/>
                <w:highlight w:val="yellow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95342A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95342A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41473CB" w14:textId="373472CE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Past bij het maken van keuzes alleen de aangereikte theorie toe </w:t>
            </w:r>
            <w:r>
              <w:rPr>
                <w:rFonts w:asciiTheme="minorHAnsi" w:hAnsiTheme="minorHAnsi" w:cstheme="minorHAnsi"/>
                <w:sz w:val="16"/>
                <w:szCs w:val="20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95342A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</w:t>
            </w:r>
            <w:r w:rsidRPr="00746FD3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965ECF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632CE1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0473DF8C" w:rsidR="00476457" w:rsidRPr="00E45F9A" w:rsidRDefault="00476457" w:rsidP="0023565E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23565E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Verslag pakketselectie met 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stakeholderanalyse, 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securityscan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over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&lt;eventueel verder aanvullen&gt;</w:t>
            </w:r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95342A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Ontwerpt volgens geplande stappen </w:t>
            </w:r>
            <w:r w:rsidRPr="00C8092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naar</w:t>
            </w: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oplossingen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95342A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5A3B2474" w14:textId="6CEA04B8" w:rsidR="00FF7739" w:rsidRPr="00BC73A6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BC73A6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initiatief bij keuzemomenten tijdens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wel eens initiatief bij keuzemomenten tijdens 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95342A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het nut van een aangereikte methode, techniek of bron voor het onderhanden probleem uitleggen /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632CE1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Draagt ruim bij en houdt team op de hoogte van waar hij/zij mee bezig is.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29CC2DC" w14:textId="2144716C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632CE1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23732D29" w:rsidR="00337AD8" w:rsidRPr="00635540" w:rsidRDefault="00337AD8" w:rsidP="0023565E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Activitydiagram</w:t>
            </w:r>
            <w:r w:rsidR="0023565E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men in pakketselectieverslag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, functione</w:t>
            </w:r>
            <w:r w:rsidR="00FD40D6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le documentatie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23565E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technisch ontwerp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&lt;eventueel verder aanvullen&gt;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95342A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95342A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95342A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D75A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782ABB8" w14:textId="7EC26673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95342A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een (deel van een) oplossing  volgens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95342A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714C2C89" w14:textId="76BC2BE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310094C6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 xml:space="preserve">code, </w:t>
            </w:r>
            <w:proofErr w:type="spellStart"/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>testrapportage</w:t>
            </w:r>
            <w:proofErr w:type="spellEnd"/>
            <w:r w:rsidR="0023565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23565E">
              <w:rPr>
                <w:rFonts w:asciiTheme="minorHAnsi" w:hAnsiTheme="minorHAnsi" w:cstheme="minorHAnsi"/>
                <w:sz w:val="22"/>
                <w:szCs w:val="22"/>
              </w:rPr>
              <w:t>temperatuursensor</w:t>
            </w:r>
            <w:proofErr w:type="spellEnd"/>
            <w:r w:rsidR="0023565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23565E">
              <w:rPr>
                <w:rFonts w:asciiTheme="minorHAnsi" w:hAnsiTheme="minorHAnsi" w:cstheme="minorHAnsi"/>
                <w:sz w:val="22"/>
                <w:szCs w:val="22"/>
              </w:rPr>
              <w:t>implementatie</w:t>
            </w:r>
            <w:proofErr w:type="spellEnd"/>
            <w:r w:rsidR="0023565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3565E">
              <w:rPr>
                <w:rFonts w:asciiTheme="minorHAnsi" w:hAnsiTheme="minorHAnsi" w:cstheme="minorHAnsi"/>
                <w:sz w:val="22"/>
                <w:szCs w:val="22"/>
              </w:rPr>
              <w:t>gedragsregels</w:t>
            </w:r>
            <w:proofErr w:type="spellEnd"/>
            <w:r w:rsidR="0023565E">
              <w:rPr>
                <w:rFonts w:asciiTheme="minorHAnsi" w:hAnsiTheme="minorHAnsi" w:cstheme="minorHAnsi"/>
                <w:sz w:val="22"/>
                <w:szCs w:val="22"/>
              </w:rPr>
              <w:t xml:space="preserve"> database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&lt;eventueel verder aanvullen&gt;</w:t>
            </w:r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elraster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Voetnootmarkering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95342A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proactief, maar een enkele keer afwachtend en afhankelijk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95342A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actief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O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CF4F36" w14:textId="74917DA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Zet stappen in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nieuwe kennis waar nodig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A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95342A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laat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zien ten aanzien van het bijstellen van eigen handelen en denken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4A4C532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95342A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Geeft op constructieve wijze</w:t>
            </w:r>
            <w:r w:rsidRPr="000A2BEB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lang w:val="nl-NL"/>
              </w:rPr>
              <w:t xml:space="preserve">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evenwichtige bijdrage aan het teamresultaat door effectief samen te werken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95342A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Gaat bewust om met beroepsmatige en ethische dilemma’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en inlevingsvermogen bij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95342A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0A2BEB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7E5D32FE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D07BA" w14:textId="77777777" w:rsidR="00F63B1F" w:rsidRDefault="00F63B1F" w:rsidP="00A60C3B">
      <w:pPr>
        <w:spacing w:after="0" w:line="240" w:lineRule="auto"/>
      </w:pPr>
      <w:r>
        <w:separator/>
      </w:r>
    </w:p>
  </w:endnote>
  <w:endnote w:type="continuationSeparator" w:id="0">
    <w:p w14:paraId="528E9189" w14:textId="77777777" w:rsidR="00F63B1F" w:rsidRDefault="00F63B1F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Voettekst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8000A4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E7029" w14:textId="77777777" w:rsidR="00F63B1F" w:rsidRDefault="00F63B1F" w:rsidP="00A60C3B">
      <w:pPr>
        <w:spacing w:after="0" w:line="240" w:lineRule="auto"/>
      </w:pPr>
      <w:r>
        <w:separator/>
      </w:r>
    </w:p>
  </w:footnote>
  <w:footnote w:type="continuationSeparator" w:id="0">
    <w:p w14:paraId="20CEC834" w14:textId="77777777" w:rsidR="00F63B1F" w:rsidRDefault="00F63B1F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Voetnootmarkering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8FBBA" w14:textId="77777777" w:rsidR="00FF7739" w:rsidRDefault="00FF7739">
    <w:pPr>
      <w:pStyle w:val="Koptekst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1B1"/>
    <w:rsid w:val="001B30DC"/>
    <w:rsid w:val="001B361C"/>
    <w:rsid w:val="001B6CC4"/>
    <w:rsid w:val="001B6F1C"/>
    <w:rsid w:val="001B7D9A"/>
    <w:rsid w:val="001C183E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565E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80D2A"/>
    <w:rsid w:val="002822E7"/>
    <w:rsid w:val="002823FA"/>
    <w:rsid w:val="00284B2F"/>
    <w:rsid w:val="0029193E"/>
    <w:rsid w:val="002943EA"/>
    <w:rsid w:val="00294E2C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4C5E"/>
    <w:rsid w:val="003750DF"/>
    <w:rsid w:val="0037563E"/>
    <w:rsid w:val="00376C2C"/>
    <w:rsid w:val="00377CDF"/>
    <w:rsid w:val="00381D02"/>
    <w:rsid w:val="00382C59"/>
    <w:rsid w:val="00383224"/>
    <w:rsid w:val="00385DB6"/>
    <w:rsid w:val="0038693F"/>
    <w:rsid w:val="0039444D"/>
    <w:rsid w:val="00397073"/>
    <w:rsid w:val="00397532"/>
    <w:rsid w:val="003A2D58"/>
    <w:rsid w:val="003B0400"/>
    <w:rsid w:val="003B1FDD"/>
    <w:rsid w:val="003B4733"/>
    <w:rsid w:val="003B542C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2CE1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6072D"/>
    <w:rsid w:val="00762617"/>
    <w:rsid w:val="00762F33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0A4"/>
    <w:rsid w:val="0080070D"/>
    <w:rsid w:val="00801B2B"/>
    <w:rsid w:val="00801C7D"/>
    <w:rsid w:val="008039DC"/>
    <w:rsid w:val="00804D72"/>
    <w:rsid w:val="00804EA9"/>
    <w:rsid w:val="00805E1E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342A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C64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398F"/>
    <w:rsid w:val="00C23C1D"/>
    <w:rsid w:val="00C250D5"/>
    <w:rsid w:val="00C25523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273C"/>
    <w:rsid w:val="00DC2F07"/>
    <w:rsid w:val="00DC459E"/>
    <w:rsid w:val="00DC461F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802"/>
    <w:rsid w:val="00F5488D"/>
    <w:rsid w:val="00F56D12"/>
    <w:rsid w:val="00F63B1F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58B"/>
  <w15:docId w15:val="{122963DF-C876-465E-8359-19BAB307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jstalinea">
    <w:name w:val="List Paragraph"/>
    <w:basedOn w:val="Standaard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Voettekst">
    <w:name w:val="footer"/>
    <w:basedOn w:val="Standaard"/>
    <w:link w:val="VoettekstChar1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A60C3B"/>
    <w:rPr>
      <w:rFonts w:eastAsiaTheme="minorEastAsia"/>
      <w:sz w:val="20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Koptekst">
    <w:name w:val="header"/>
    <w:basedOn w:val="Standaard"/>
    <w:link w:val="KoptekstChar1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1">
    <w:name w:val="Koptekst Char1"/>
    <w:basedOn w:val="Standaardalinea-lettertype"/>
    <w:link w:val="Koptekst"/>
    <w:rsid w:val="00A60C3B"/>
    <w:rPr>
      <w:rFonts w:eastAsiaTheme="minorEastAsia"/>
      <w:sz w:val="20"/>
      <w:lang w:eastAsia="nl-NL"/>
    </w:rPr>
  </w:style>
  <w:style w:type="paragraph" w:styleId="Geenafstand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Standaardalinea-lettertype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Standaardalinea-lettertype"/>
    <w:uiPriority w:val="99"/>
    <w:rsid w:val="00A60C3B"/>
  </w:style>
  <w:style w:type="table" w:styleId="Gemiddeldearcering1-accent1">
    <w:name w:val="Medium Shading 1 Accent 1"/>
    <w:basedOn w:val="Standaardtabe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A60C3B"/>
    <w:rPr>
      <w:i/>
      <w:iCs/>
    </w:rPr>
  </w:style>
  <w:style w:type="character" w:styleId="Tekstvantijdelijkeaanduiding">
    <w:name w:val="Placeholder Text"/>
    <w:basedOn w:val="Standaardalinea-lettertype"/>
    <w:uiPriority w:val="99"/>
    <w:semiHidden/>
    <w:rsid w:val="00A60C3B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0C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0C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e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Standaard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Standaardalinea-lettertype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Standaardalinea-lettertype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Standaardalinea-lettertype"/>
    <w:uiPriority w:val="99"/>
    <w:unhideWhenUsed/>
    <w:rsid w:val="00A60C3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343198" w:rsidRDefault="00F32C23" w:rsidP="00F32C23">
          <w:pPr>
            <w:pStyle w:val="9E39375E79FC4DDCABDE5E7543B0F996"/>
          </w:pPr>
          <w:r w:rsidRPr="00134FE0">
            <w:rPr>
              <w:rStyle w:val="Tekstvantijdelijkeaanduiding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343198" w:rsidRDefault="00F32C23" w:rsidP="00F32C23">
          <w:pPr>
            <w:pStyle w:val="37584A4DFC5E41178AC7615DF7C35AEC"/>
          </w:pPr>
          <w:r w:rsidRPr="00134FE0">
            <w:rPr>
              <w:rStyle w:val="Tekstvantijdelijkeaanduiding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343198" w:rsidRDefault="00F32C23" w:rsidP="00F32C23">
          <w:pPr>
            <w:pStyle w:val="4952296C597B4600840B3698C8383553"/>
          </w:pPr>
          <w:r w:rsidRPr="00134FE0">
            <w:rPr>
              <w:rStyle w:val="Tekstvantijdelijkeaanduiding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343198" w:rsidRDefault="00F32C23" w:rsidP="00F32C23">
          <w:pPr>
            <w:pStyle w:val="FB3A97F3C54F416D918C5647FC53A5A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343198" w:rsidRDefault="00F32C23" w:rsidP="00F32C23">
          <w:pPr>
            <w:pStyle w:val="0059C448F95F4E9ABF60D8C4B3C7D79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343198" w:rsidRDefault="00F32C23" w:rsidP="00F32C23">
          <w:pPr>
            <w:pStyle w:val="DD6A9D76601C4420AC3F731D5188E822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343198" w:rsidRDefault="00F32C23" w:rsidP="00F32C23">
          <w:pPr>
            <w:pStyle w:val="264A76F119464B3E85FA9A7C7B1F3EE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343198" w:rsidRDefault="00F32C23" w:rsidP="00F32C23">
          <w:pPr>
            <w:pStyle w:val="39CC9D4B868947A980CF7FAD53EBE570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343198" w:rsidRDefault="00F32C23" w:rsidP="00F32C23">
          <w:pPr>
            <w:pStyle w:val="3226C8552A1B4E97BFBD399AF7CF727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343198" w:rsidRDefault="00F32C23" w:rsidP="00F32C23">
          <w:pPr>
            <w:pStyle w:val="EA7FC61F77DE4360BFF1AC6CE008A96E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343198" w:rsidRDefault="00F32C23" w:rsidP="00F32C23">
          <w:pPr>
            <w:pStyle w:val="0A679EC9359A414BB908713825AE4F34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343198" w:rsidRDefault="00F32C23" w:rsidP="00F32C23">
          <w:pPr>
            <w:pStyle w:val="16C314C4D7234C75BDE4D211D8A957F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343198" w:rsidRDefault="00F32C23" w:rsidP="00F32C23">
          <w:pPr>
            <w:pStyle w:val="57612AF80F1E42D29F3D53E3497772D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343198" w:rsidRDefault="00F32C23" w:rsidP="00F32C23">
          <w:pPr>
            <w:pStyle w:val="90A953A0D14F462A83A71D90AEDE9425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343198" w:rsidRDefault="00F32C23" w:rsidP="00F32C23">
          <w:pPr>
            <w:pStyle w:val="8D904467783C4EB48A0C79E09530B5A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343198" w:rsidRDefault="00F32C23" w:rsidP="00F32C23">
          <w:pPr>
            <w:pStyle w:val="25B39E38E4B049F685A42D4072D1B59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343198" w:rsidRDefault="00F32C23" w:rsidP="00F32C23">
          <w:pPr>
            <w:pStyle w:val="8BE330DFEAA4417DB23B24817378276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343198" w:rsidRDefault="00F32C23" w:rsidP="00F32C23">
          <w:pPr>
            <w:pStyle w:val="19AB7F32CD5E4DA1BDAC80B6F5F7183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343198" w:rsidRDefault="00F32C23" w:rsidP="00F32C23">
          <w:pPr>
            <w:pStyle w:val="E96A6D7C9E974EDE9DBC39FBF01E47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343198" w:rsidRDefault="00F32C23" w:rsidP="00F32C23">
          <w:pPr>
            <w:pStyle w:val="4148E14A462A4F9AA4C224E11E34655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343198" w:rsidRDefault="00F32C23" w:rsidP="00F32C23">
          <w:pPr>
            <w:pStyle w:val="A3848B5EE582443EA0AC3487B3C8912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343198" w:rsidRDefault="00F32C23" w:rsidP="00F32C23">
          <w:pPr>
            <w:pStyle w:val="130F4A4D5DD443A1AFD577494F6318E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343198" w:rsidRDefault="00F32C23" w:rsidP="00F32C23">
          <w:pPr>
            <w:pStyle w:val="F55C7A8851B341DA8B7277031FA34FA6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343198" w:rsidRDefault="00F32C23" w:rsidP="00F32C23">
          <w:pPr>
            <w:pStyle w:val="6ABE5AE1940F4608B3F023F30840E48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343198" w:rsidRDefault="00F32C23" w:rsidP="00F32C23">
          <w:pPr>
            <w:pStyle w:val="B0D76211B19A4D89B1A1680B0A00A6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343198" w:rsidRDefault="00F32C23" w:rsidP="00F32C23">
          <w:pPr>
            <w:pStyle w:val="899C59C7EAAC4DE38A769D71A1A50AA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343198" w:rsidRDefault="00F32C23" w:rsidP="00F32C23">
          <w:pPr>
            <w:pStyle w:val="314EB5095209498DA897E662931CF3C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343198" w:rsidRDefault="00F32C23" w:rsidP="00F32C23">
          <w:pPr>
            <w:pStyle w:val="A923C461409C4966B8709AF83D31C69A"/>
          </w:pPr>
          <w:r w:rsidRPr="00134FE0">
            <w:rPr>
              <w:rStyle w:val="Tekstvantijdelijkeaanduiding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208C"/>
    <w:multiLevelType w:val="multilevel"/>
    <w:tmpl w:val="C488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2633D"/>
    <w:rsid w:val="00241E21"/>
    <w:rsid w:val="00260BFF"/>
    <w:rsid w:val="002804EA"/>
    <w:rsid w:val="002867DC"/>
    <w:rsid w:val="00294F23"/>
    <w:rsid w:val="002B4469"/>
    <w:rsid w:val="0031268F"/>
    <w:rsid w:val="00342E7C"/>
    <w:rsid w:val="00343198"/>
    <w:rsid w:val="00370DD0"/>
    <w:rsid w:val="00372E7E"/>
    <w:rsid w:val="003A6DC9"/>
    <w:rsid w:val="003B445E"/>
    <w:rsid w:val="003B6660"/>
    <w:rsid w:val="003C071F"/>
    <w:rsid w:val="003D4D33"/>
    <w:rsid w:val="003F1DC2"/>
    <w:rsid w:val="00401760"/>
    <w:rsid w:val="00416ED9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678FE"/>
    <w:rsid w:val="00796C0F"/>
    <w:rsid w:val="00796E9F"/>
    <w:rsid w:val="007A585A"/>
    <w:rsid w:val="00825399"/>
    <w:rsid w:val="00844A38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D14336"/>
    <w:rsid w:val="00D157D4"/>
    <w:rsid w:val="00D60F56"/>
    <w:rsid w:val="00D67A88"/>
    <w:rsid w:val="00D74197"/>
    <w:rsid w:val="00DA1DB2"/>
    <w:rsid w:val="00E15B32"/>
    <w:rsid w:val="00E61EC1"/>
    <w:rsid w:val="00EB5938"/>
    <w:rsid w:val="00EE55D1"/>
    <w:rsid w:val="00F32C23"/>
    <w:rsid w:val="00F46B4D"/>
    <w:rsid w:val="00F57E46"/>
    <w:rsid w:val="00F80ED2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32C23"/>
    <w:rPr>
      <w:color w:val="80808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A9F3A6BDB0044E27AD8D95DA62BA2F22">
    <w:name w:val="A9F3A6BDB0044E27AD8D95DA62BA2F22"/>
    <w:rsid w:val="00844A38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5" ma:contentTypeDescription="Een nieuw document maken." ma:contentTypeScope="" ma:versionID="b0d4c26421a069b1ddfdc4d50b16c096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dca1974c5a2fb1984dc39ab1f1d25c8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3E1D5-BE3A-493B-A75E-AF03DA46F6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365CEF-38A1-4F11-B557-84CD68364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1711</Words>
  <Characters>9415</Characters>
  <Application>Microsoft Office Word</Application>
  <DocSecurity>0</DocSecurity>
  <Lines>78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Ivar Post</cp:lastModifiedBy>
  <cp:revision>4</cp:revision>
  <cp:lastPrinted>2017-05-22T07:34:00Z</cp:lastPrinted>
  <dcterms:created xsi:type="dcterms:W3CDTF">2020-12-30T14:27:00Z</dcterms:created>
  <dcterms:modified xsi:type="dcterms:W3CDTF">2021-01-02T09:13:00Z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