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24.0" w:type="dxa"/>
        <w:jc w:val="left"/>
        <w:tblInd w:w="0.0" w:type="dxa"/>
        <w:tblLayout w:type="fixed"/>
        <w:tblLook w:val="0400"/>
      </w:tblPr>
      <w:tblGrid>
        <w:gridCol w:w="1278"/>
        <w:gridCol w:w="2554"/>
        <w:gridCol w:w="945"/>
        <w:gridCol w:w="1721"/>
        <w:gridCol w:w="2526"/>
        <w:tblGridChange w:id="0">
          <w:tblGrid>
            <w:gridCol w:w="1278"/>
            <w:gridCol w:w="2554"/>
            <w:gridCol w:w="945"/>
            <w:gridCol w:w="1721"/>
            <w:gridCol w:w="252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Team Titans – Routine Group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9/September/2021  (8:30 – 10:30am)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Software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Aloysius 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Jacob Law Zhen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Jolene Tan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Soh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Qian 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Y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Samuel Lee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Zeta Chua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E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Jolene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33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Analysis Models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Use Case Diagram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Dialog Map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Data Flow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Class Diagram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System Architecture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Assigned 1 - 3 members for each diagram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Other members to vet after initial version done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9/9/2021 &amp; 22/9/2021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Documentations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Quality Plan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Initial group discussion to summarise pointers for each document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Divided documents into sections for individual members to complete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Other members to vet after initial version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9/9/2021 &amp; 23/9/2021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UI Mockup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After discussion as a group, assigned to 2 members to do up on Figma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Other members to vet after initial version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9/9/2021 &amp; 12/9/2021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Code Functions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Queue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Opening hours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Assigned 1 - 3 members for each function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To demonstrate &amp; explain to other members after initial version done for testing, integration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9/9/2021 &amp; 19/9/2021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bfbfbf" w:val="clear"/>
                <w:rtl w:val="0"/>
              </w:rPr>
              <w:t xml:space="preserve">7/10/2021, 8.30 – 10.30am, Software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71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Signed by Jolene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9FQp0yMLvxU7u9BkA+E7/wqNlQ==">AMUW2mVIJCJ8ksqnBJSp1duOncMUljQFHq49nlZLThvoZr908bX6A588XcziBTcuhmVfXgezOlcbRRkkC6xEJJtz56pMrFMjqkKvOLyyZTB+4CNt26yCpYMSXiKV67gyxr3FxUhk3N+f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