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Sherzod Mamanazarov Sobirovich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admin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Sherzod Mamanazarov Sobirovich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1214253463767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Chirchiq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2023-08-17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Sergeli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