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9FC91" w14:textId="4F17C74C" w:rsidR="00BB132D" w:rsidRPr="00BC6585" w:rsidRDefault="00BB132D" w:rsidP="00BB132D">
      <w:pPr>
        <w:pStyle w:val="Title"/>
        <w:spacing w:before="0"/>
        <w:ind w:right="-329"/>
        <w:rPr>
          <w:rFonts w:asciiTheme="minorHAnsi" w:hAnsiTheme="minorHAnsi"/>
          <w:noProof/>
          <w:color w:val="002D3F" w:themeColor="accent1"/>
          <w:sz w:val="48"/>
          <w:szCs w:val="44"/>
        </w:rPr>
      </w:pPr>
      <w:r w:rsidRPr="00BC6585">
        <w:rPr>
          <w:rFonts w:asciiTheme="minorHAnsi" w:hAnsiTheme="minorHAnsi"/>
          <w:noProof/>
          <w:color w:val="002D3F" w:themeColor="accent1"/>
          <w:sz w:val="48"/>
          <w:szCs w:val="44"/>
        </w:rPr>
        <w:drawing>
          <wp:anchor distT="0" distB="0" distL="114300" distR="114300" simplePos="0" relativeHeight="251659264" behindDoc="0" locked="0" layoutInCell="1" allowOverlap="1" wp14:anchorId="7B110ACD" wp14:editId="26F6C81C">
            <wp:simplePos x="0" y="0"/>
            <wp:positionH relativeFrom="page">
              <wp:align>left</wp:align>
            </wp:positionH>
            <wp:positionV relativeFrom="page">
              <wp:align>top</wp:align>
            </wp:positionV>
            <wp:extent cx="7560000" cy="1782814"/>
            <wp:effectExtent l="0" t="0" r="317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0000" cy="1782814"/>
                    </a:xfrm>
                    <a:prstGeom prst="rect">
                      <a:avLst/>
                    </a:prstGeom>
                    <a:noFill/>
                    <a:ln>
                      <a:noFill/>
                    </a:ln>
                  </pic:spPr>
                </pic:pic>
              </a:graphicData>
            </a:graphic>
            <wp14:sizeRelH relativeFrom="page">
              <wp14:pctWidth>0</wp14:pctWidth>
            </wp14:sizeRelH>
            <wp14:sizeRelV relativeFrom="page">
              <wp14:pctHeight>0</wp14:pctHeight>
            </wp14:sizeRelV>
          </wp:anchor>
        </w:drawing>
      </w:r>
      <w:r w:rsidR="00D23548" w:rsidRPr="00BC6585">
        <w:rPr>
          <w:rFonts w:asciiTheme="minorHAnsi" w:hAnsiTheme="minorHAnsi"/>
          <w:noProof/>
          <w:color w:val="002D3F" w:themeColor="accent1"/>
          <w:sz w:val="48"/>
          <w:szCs w:val="44"/>
        </w:rPr>
        <w:t>Issue</w:t>
      </w:r>
      <w:r w:rsidR="00AC51B3" w:rsidRPr="00BC6585">
        <w:rPr>
          <w:rFonts w:asciiTheme="minorHAnsi" w:hAnsiTheme="minorHAnsi"/>
          <w:noProof/>
          <w:color w:val="002D3F" w:themeColor="accent1"/>
          <w:sz w:val="48"/>
          <w:szCs w:val="44"/>
        </w:rPr>
        <w:t>s</w:t>
      </w:r>
      <w:r w:rsidR="00D23548" w:rsidRPr="00BC6585">
        <w:rPr>
          <w:rFonts w:asciiTheme="minorHAnsi" w:hAnsiTheme="minorHAnsi"/>
          <w:noProof/>
          <w:color w:val="002D3F" w:themeColor="accent1"/>
          <w:sz w:val="48"/>
          <w:szCs w:val="44"/>
        </w:rPr>
        <w:t xml:space="preserve"> Paper</w:t>
      </w:r>
    </w:p>
    <w:p w14:paraId="35E1ABB8" w14:textId="3DAB5A93" w:rsidR="00135744" w:rsidRPr="00BB132D" w:rsidRDefault="00135744" w:rsidP="00BB132D">
      <w:pPr>
        <w:pStyle w:val="Title"/>
        <w:spacing w:before="0" w:line="240" w:lineRule="auto"/>
        <w:ind w:right="-329"/>
        <w:contextualSpacing/>
        <w:rPr>
          <w:rFonts w:asciiTheme="minorHAnsi" w:hAnsiTheme="minorHAnsi"/>
          <w:noProof/>
          <w:color w:val="002D3F" w:themeColor="accent1"/>
        </w:rPr>
      </w:pPr>
      <w:r w:rsidRPr="00BB132D">
        <w:rPr>
          <w:rFonts w:asciiTheme="minorHAnsi" w:hAnsiTheme="minorHAnsi"/>
          <w:noProof/>
          <w:color w:val="002D3F" w:themeColor="accent1"/>
        </w:rPr>
        <w:t xml:space="preserve">RTO </w:t>
      </w:r>
      <w:r w:rsidR="00D23548" w:rsidRPr="00BB132D">
        <w:rPr>
          <w:rFonts w:asciiTheme="minorHAnsi" w:hAnsiTheme="minorHAnsi"/>
          <w:noProof/>
          <w:color w:val="002D3F" w:themeColor="accent1"/>
        </w:rPr>
        <w:t>Quality</w:t>
      </w:r>
      <w:r w:rsidR="00BB132D" w:rsidRPr="00BB132D">
        <w:rPr>
          <w:rFonts w:asciiTheme="minorHAnsi" w:hAnsiTheme="minorHAnsi"/>
          <w:noProof/>
          <w:color w:val="002D3F" w:themeColor="accent1"/>
        </w:rPr>
        <w:t xml:space="preserve">: </w:t>
      </w:r>
      <w:r w:rsidRPr="00BB132D">
        <w:rPr>
          <w:rFonts w:asciiTheme="minorHAnsi" w:hAnsiTheme="minorHAnsi"/>
          <w:noProof/>
          <w:color w:val="002D3F" w:themeColor="accent1"/>
        </w:rPr>
        <w:t xml:space="preserve">Strengthening </w:t>
      </w:r>
      <w:r w:rsidR="0084691A" w:rsidRPr="00BB132D">
        <w:rPr>
          <w:rFonts w:asciiTheme="minorHAnsi" w:hAnsiTheme="minorHAnsi"/>
          <w:noProof/>
          <w:color w:val="002D3F" w:themeColor="accent1"/>
        </w:rPr>
        <w:t xml:space="preserve">RTO </w:t>
      </w:r>
      <w:r w:rsidRPr="00BB132D">
        <w:rPr>
          <w:rFonts w:asciiTheme="minorHAnsi" w:hAnsiTheme="minorHAnsi"/>
          <w:noProof/>
          <w:color w:val="002D3F" w:themeColor="accent1"/>
        </w:rPr>
        <w:t>standards and fostering excellence</w:t>
      </w:r>
    </w:p>
    <w:p w14:paraId="706B84CE" w14:textId="77777777" w:rsidR="00BB132D" w:rsidRDefault="00BB132D" w:rsidP="00950030"/>
    <w:p w14:paraId="155ECF08" w14:textId="5A119AC6" w:rsidR="00950030" w:rsidRPr="00950030" w:rsidRDefault="00950030" w:rsidP="00950030">
      <w:r w:rsidRPr="00950030">
        <w:t>All states and territories have agreed to the Heads of Agreement for Skills Reform. Through this they have agreed to immediately progress reforms to</w:t>
      </w:r>
      <w:r w:rsidR="00487D29">
        <w:t>:</w:t>
      </w:r>
    </w:p>
    <w:p w14:paraId="31B57109" w14:textId="6ACC15EE" w:rsidR="00950030" w:rsidRPr="00950030" w:rsidRDefault="00950030" w:rsidP="00072045">
      <w:pPr>
        <w:pStyle w:val="ListParagraph"/>
        <w:numPr>
          <w:ilvl w:val="0"/>
          <w:numId w:val="22"/>
        </w:numPr>
      </w:pPr>
      <w:r w:rsidRPr="00950030">
        <w:t>strengthen quality standards</w:t>
      </w:r>
    </w:p>
    <w:p w14:paraId="74227219" w14:textId="0710F7F9" w:rsidR="00950030" w:rsidRPr="00950030" w:rsidRDefault="00950030" w:rsidP="00072045">
      <w:pPr>
        <w:pStyle w:val="ListParagraph"/>
        <w:numPr>
          <w:ilvl w:val="0"/>
          <w:numId w:val="22"/>
        </w:numPr>
      </w:pPr>
      <w:r w:rsidRPr="00950030">
        <w:t xml:space="preserve">build </w:t>
      </w:r>
      <w:r w:rsidR="00024C4F">
        <w:t>registered training organisation (RTO)</w:t>
      </w:r>
      <w:r w:rsidRPr="00950030">
        <w:t xml:space="preserve"> capacity and capability for continuous improvement, and</w:t>
      </w:r>
      <w:bookmarkStart w:id="0" w:name="_GoBack"/>
      <w:bookmarkEnd w:id="0"/>
    </w:p>
    <w:p w14:paraId="335A6ECA" w14:textId="334F9361" w:rsidR="00950030" w:rsidRPr="00950030" w:rsidRDefault="00950030" w:rsidP="00072045">
      <w:pPr>
        <w:pStyle w:val="ListParagraph"/>
        <w:numPr>
          <w:ilvl w:val="0"/>
          <w:numId w:val="22"/>
        </w:numPr>
      </w:pPr>
      <w:r w:rsidRPr="00950030">
        <w:t xml:space="preserve">develop a VET workforce quality strategy. </w:t>
      </w:r>
    </w:p>
    <w:p w14:paraId="70FACB2B" w14:textId="4A1BD2D4" w:rsidR="00487D29" w:rsidRDefault="00487D29" w:rsidP="00A94DFD">
      <w:r>
        <w:t xml:space="preserve">This paper focuses on quality standards and building RTO capacity and capability. It aims to identify issues with the current </w:t>
      </w:r>
      <w:r w:rsidRPr="00487D29">
        <w:rPr>
          <w:i/>
          <w:iCs/>
        </w:rPr>
        <w:t>Standards for Registered Training Organisations 2015</w:t>
      </w:r>
      <w:r>
        <w:t xml:space="preserve"> which may impact on </w:t>
      </w:r>
      <w:r w:rsidR="001245AA">
        <w:t xml:space="preserve">RTO </w:t>
      </w:r>
      <w:r>
        <w:t>quality</w:t>
      </w:r>
      <w:r w:rsidR="001245AA">
        <w:t xml:space="preserve">, alongside how to support </w:t>
      </w:r>
      <w:r>
        <w:t xml:space="preserve">RTO excellence. </w:t>
      </w:r>
    </w:p>
    <w:p w14:paraId="2D298B0E" w14:textId="51C019DB" w:rsidR="00487D29" w:rsidRDefault="00487D29" w:rsidP="00A94DFD">
      <w:r>
        <w:t xml:space="preserve">Issues around the VET workforce are covered in a separate paper (and can be found at </w:t>
      </w:r>
      <w:hyperlink r:id="rId12" w:history="1">
        <w:r w:rsidR="00E4376B">
          <w:rPr>
            <w:rStyle w:val="Hyperlink"/>
          </w:rPr>
          <w:t>https://www.dese.gov.au/quality-reform</w:t>
        </w:r>
      </w:hyperlink>
      <w:r>
        <w:t xml:space="preserve">). </w:t>
      </w:r>
    </w:p>
    <w:p w14:paraId="05F16484" w14:textId="77777777" w:rsidR="00487D29" w:rsidRPr="00BC6585" w:rsidRDefault="00487D29" w:rsidP="00BB132D">
      <w:pPr>
        <w:pStyle w:val="Heading1"/>
        <w:rPr>
          <w:color w:val="002D3F" w:themeColor="accent1"/>
        </w:rPr>
      </w:pPr>
      <w:r w:rsidRPr="00BC6585">
        <w:rPr>
          <w:color w:val="002D3F" w:themeColor="accent1"/>
        </w:rPr>
        <w:t>Introduction</w:t>
      </w:r>
    </w:p>
    <w:p w14:paraId="2ECC06AD" w14:textId="725C7C0D" w:rsidR="003C23E2" w:rsidRDefault="00ED4F18" w:rsidP="006E4AC5">
      <w:r>
        <w:t xml:space="preserve">Recent reviews </w:t>
      </w:r>
      <w:r w:rsidR="00AC51B3">
        <w:t>of</w:t>
      </w:r>
      <w:r>
        <w:t xml:space="preserve">, and </w:t>
      </w:r>
      <w:r w:rsidRPr="002F35CA">
        <w:t xml:space="preserve">feedback from, the </w:t>
      </w:r>
      <w:r w:rsidRPr="003353F9">
        <w:rPr>
          <w:rFonts w:cstheme="minorHAnsi"/>
        </w:rPr>
        <w:t>vocational education and training (VET)</w:t>
      </w:r>
      <w:r>
        <w:rPr>
          <w:rFonts w:cstheme="minorHAnsi"/>
        </w:rPr>
        <w:t xml:space="preserve"> </w:t>
      </w:r>
      <w:r w:rsidRPr="002F35CA">
        <w:t>sector have identified</w:t>
      </w:r>
      <w:r>
        <w:t xml:space="preserve"> a need to </w:t>
      </w:r>
      <w:r w:rsidRPr="002F35CA">
        <w:t>improve</w:t>
      </w:r>
      <w:r w:rsidR="00AC51B3">
        <w:t xml:space="preserve"> the quality of training and assessment across</w:t>
      </w:r>
      <w:r>
        <w:t xml:space="preserve"> the sector. </w:t>
      </w:r>
      <w:bookmarkStart w:id="1" w:name="_Hlk55287142"/>
      <w:r w:rsidR="003C23E2" w:rsidRPr="003C23E2">
        <w:t xml:space="preserve">While </w:t>
      </w:r>
      <w:r w:rsidR="004A7209">
        <w:t xml:space="preserve">the </w:t>
      </w:r>
      <w:r w:rsidR="003C23E2" w:rsidRPr="003C23E2">
        <w:t>quality of training</w:t>
      </w:r>
      <w:r w:rsidR="00051DE1">
        <w:t xml:space="preserve"> delivery </w:t>
      </w:r>
      <w:r w:rsidR="003C23E2" w:rsidRPr="00400F97">
        <w:t>is impacted by many variables</w:t>
      </w:r>
      <w:r w:rsidR="00051DE1">
        <w:t xml:space="preserve"> outside of the control of </w:t>
      </w:r>
      <w:r w:rsidR="00024C4F">
        <w:t>RTOs</w:t>
      </w:r>
      <w:r w:rsidR="003C23E2">
        <w:t>,</w:t>
      </w:r>
      <w:r w:rsidR="003C23E2" w:rsidRPr="00EF0C8F">
        <w:t xml:space="preserve"> such </w:t>
      </w:r>
      <w:r w:rsidR="00D53ADB">
        <w:t xml:space="preserve">as </w:t>
      </w:r>
      <w:r w:rsidR="003C23E2" w:rsidRPr="00EF0C8F">
        <w:t xml:space="preserve">the design of training </w:t>
      </w:r>
      <w:r w:rsidR="003C23E2">
        <w:t>products</w:t>
      </w:r>
      <w:r w:rsidR="003C23E2" w:rsidRPr="00EF0C8F">
        <w:t xml:space="preserve">, </w:t>
      </w:r>
      <w:r w:rsidR="00C7170F" w:rsidRPr="00EF0C8F">
        <w:t>RTOs</w:t>
      </w:r>
      <w:r w:rsidR="00051DE1">
        <w:t xml:space="preserve"> </w:t>
      </w:r>
      <w:r w:rsidR="003C23E2" w:rsidRPr="00EF0C8F">
        <w:t xml:space="preserve">have a critical role in ensuring the training and assessment </w:t>
      </w:r>
      <w:r w:rsidR="003C23E2">
        <w:t>delivered on the ground</w:t>
      </w:r>
      <w:r w:rsidR="003C23E2" w:rsidRPr="00EF0C8F">
        <w:t xml:space="preserve"> is </w:t>
      </w:r>
      <w:r w:rsidR="00BA0E22">
        <w:t xml:space="preserve">of </w:t>
      </w:r>
      <w:r w:rsidR="003C23E2" w:rsidRPr="00EF0C8F">
        <w:t xml:space="preserve">high quality and </w:t>
      </w:r>
      <w:r w:rsidR="003C23E2" w:rsidRPr="00400F97">
        <w:t xml:space="preserve">delivered in a way that best meets the needs of learners </w:t>
      </w:r>
      <w:r w:rsidR="003C23E2" w:rsidRPr="00A71AEC">
        <w:t xml:space="preserve">and employers. </w:t>
      </w:r>
      <w:r w:rsidR="003C23E2">
        <w:t xml:space="preserve">While RTOs operating in the sector are required to meet relevant </w:t>
      </w:r>
      <w:r w:rsidR="00024C4F">
        <w:t>s</w:t>
      </w:r>
      <w:r w:rsidR="003C23E2">
        <w:t xml:space="preserve">tandards (such as the </w:t>
      </w:r>
      <w:r w:rsidR="003C23E2" w:rsidRPr="003353F9">
        <w:rPr>
          <w:i/>
        </w:rPr>
        <w:t>Standards for Registered Training Organisations 2015</w:t>
      </w:r>
      <w:r w:rsidR="003C23E2">
        <w:t xml:space="preserve">), there is no clearly articulated understanding </w:t>
      </w:r>
      <w:r w:rsidR="004A7209">
        <w:t>across</w:t>
      </w:r>
      <w:r w:rsidR="003C23E2">
        <w:t xml:space="preserve"> the sector of what ‘high</w:t>
      </w:r>
      <w:r w:rsidR="004D35BC">
        <w:t>-</w:t>
      </w:r>
      <w:r w:rsidR="003C23E2">
        <w:t xml:space="preserve">quality’ training delivery entails. </w:t>
      </w:r>
      <w:r w:rsidR="00051DE1">
        <w:t xml:space="preserve">Identifying this will not only support RTOs, </w:t>
      </w:r>
      <w:r w:rsidR="0057292D">
        <w:t>it</w:t>
      </w:r>
      <w:r w:rsidR="00051DE1">
        <w:t xml:space="preserve"> will help </w:t>
      </w:r>
      <w:r w:rsidR="00051DE1" w:rsidRPr="004A7209">
        <w:t>all</w:t>
      </w:r>
      <w:r w:rsidR="00051DE1">
        <w:t xml:space="preserve"> VET stakeholders to use a common language when promoting the benefits </w:t>
      </w:r>
      <w:r w:rsidR="00A41273">
        <w:t>of</w:t>
      </w:r>
      <w:r w:rsidR="00051DE1">
        <w:t xml:space="preserve"> the substantial amount of high</w:t>
      </w:r>
      <w:r w:rsidR="004D35BC">
        <w:t>-</w:t>
      </w:r>
      <w:r w:rsidR="00051DE1">
        <w:t>quality training which is already being delivered</w:t>
      </w:r>
      <w:r w:rsidR="00A41273">
        <w:t xml:space="preserve"> across Australia</w:t>
      </w:r>
      <w:r w:rsidR="00051DE1">
        <w:t xml:space="preserve">. </w:t>
      </w:r>
    </w:p>
    <w:p w14:paraId="6428E374" w14:textId="0A138006" w:rsidR="00DB19F7" w:rsidRDefault="00DB19F7" w:rsidP="00DB19F7">
      <w:pPr>
        <w:spacing w:after="240"/>
      </w:pPr>
      <w:r>
        <w:t xml:space="preserve">Work is already underway in the sector to </w:t>
      </w:r>
      <w:r w:rsidR="00A41273">
        <w:t>lift</w:t>
      </w:r>
      <w:r>
        <w:t xml:space="preserve"> quality and build the capacity</w:t>
      </w:r>
      <w:r w:rsidR="00D62680">
        <w:t xml:space="preserve"> </w:t>
      </w:r>
      <w:r>
        <w:t xml:space="preserve">of training providers. Reforms </w:t>
      </w:r>
      <w:r w:rsidR="00A41273">
        <w:t xml:space="preserve">are underway to </w:t>
      </w:r>
      <w:r w:rsidR="00DC6B69">
        <w:t>enhanc</w:t>
      </w:r>
      <w:r w:rsidR="00A41273">
        <w:t>e</w:t>
      </w:r>
      <w:r w:rsidR="00DC6B69">
        <w:t xml:space="preserve"> the Australian Skills Quality Authority’s (</w:t>
      </w:r>
      <w:r>
        <w:t>ASQA’s</w:t>
      </w:r>
      <w:r w:rsidR="00DC6B69">
        <w:t>)</w:t>
      </w:r>
      <w:r>
        <w:t xml:space="preserve"> engagement with the </w:t>
      </w:r>
      <w:r w:rsidR="00DC6B69">
        <w:t xml:space="preserve">VET </w:t>
      </w:r>
      <w:r>
        <w:t>sector and</w:t>
      </w:r>
      <w:r w:rsidR="001245AA">
        <w:t xml:space="preserve"> educative approach, as well as repositioning ASQA’s regulatory approach to </w:t>
      </w:r>
      <w:r w:rsidR="001245AA">
        <w:lastRenderedPageBreak/>
        <w:t>promote provider self-assurance and continuous improvement</w:t>
      </w:r>
      <w:r>
        <w:t xml:space="preserve">. </w:t>
      </w:r>
      <w:r w:rsidR="0099663D">
        <w:t>T</w:t>
      </w:r>
      <w:r>
        <w:t>he rapid review of ASQA</w:t>
      </w:r>
      <w:r w:rsidR="004D35BC">
        <w:t>’s governance and regulatory practices</w:t>
      </w:r>
      <w:r>
        <w:t xml:space="preserve"> </w:t>
      </w:r>
      <w:r w:rsidR="00DC6B69">
        <w:t xml:space="preserve">released in April 2020 </w:t>
      </w:r>
      <w:r>
        <w:t xml:space="preserve">identified that alongside improvements to ASQA, there was a need to improve the understanding of quality </w:t>
      </w:r>
      <w:r w:rsidR="00DC6B69">
        <w:t>across</w:t>
      </w:r>
      <w:r>
        <w:t xml:space="preserve"> the sector and to continue to build the capacity and capability of the sector to </w:t>
      </w:r>
      <w:r w:rsidR="00DC6B69">
        <w:t xml:space="preserve">support </w:t>
      </w:r>
      <w:r>
        <w:t>deliver</w:t>
      </w:r>
      <w:r w:rsidR="004D35BC">
        <w:t>y of</w:t>
      </w:r>
      <w:r>
        <w:t xml:space="preserve"> </w:t>
      </w:r>
      <w:r w:rsidR="006B4A5F">
        <w:t>high-quality</w:t>
      </w:r>
      <w:r>
        <w:t xml:space="preserve"> training. </w:t>
      </w:r>
      <w:r w:rsidR="00DC6B69">
        <w:t>The review</w:t>
      </w:r>
      <w:r>
        <w:t xml:space="preserve"> also recognised that as ASQA regulates against the </w:t>
      </w:r>
      <w:r w:rsidRPr="00DC6B69">
        <w:rPr>
          <w:i/>
        </w:rPr>
        <w:t>Standards</w:t>
      </w:r>
      <w:r w:rsidR="00DC6B69" w:rsidRPr="00DC6B69">
        <w:rPr>
          <w:i/>
        </w:rPr>
        <w:t xml:space="preserve"> for Registered Training Organisations 2015</w:t>
      </w:r>
      <w:r w:rsidR="00DC6B69">
        <w:t xml:space="preserve"> (the Standards)</w:t>
      </w:r>
      <w:r>
        <w:t>, for ASQA to fully adjust its regulatory approach</w:t>
      </w:r>
      <w:r w:rsidR="00B634EC">
        <w:t>,</w:t>
      </w:r>
      <w:r>
        <w:t xml:space="preserve"> the Standards need to be revised to ensure they </w:t>
      </w:r>
      <w:r w:rsidR="00D62680">
        <w:t xml:space="preserve">are effective in </w:t>
      </w:r>
      <w:r>
        <w:t>meet</w:t>
      </w:r>
      <w:r w:rsidR="00D62680">
        <w:t>ing</w:t>
      </w:r>
      <w:r>
        <w:t xml:space="preserve"> the needs of the sector</w:t>
      </w:r>
      <w:r w:rsidR="004D35BC">
        <w:t>.</w:t>
      </w:r>
      <w:r w:rsidR="00DC6B69">
        <w:t xml:space="preserve"> </w:t>
      </w:r>
      <w:r w:rsidR="006B4A5F">
        <w:t>It is important that r</w:t>
      </w:r>
      <w:r w:rsidR="00DC6B69">
        <w:t>equirements</w:t>
      </w:r>
      <w:r w:rsidR="004D35BC">
        <w:t xml:space="preserve"> </w:t>
      </w:r>
      <w:r w:rsidR="006B4A5F">
        <w:t>are</w:t>
      </w:r>
      <w:r w:rsidR="00DC6B69">
        <w:t xml:space="preserve"> clear to both the sector and the regulator, </w:t>
      </w:r>
      <w:r w:rsidR="00D62680">
        <w:t xml:space="preserve">thereby </w:t>
      </w:r>
      <w:r w:rsidR="00DC6B69">
        <w:t xml:space="preserve">enabling the Standards to be more </w:t>
      </w:r>
      <w:r>
        <w:t xml:space="preserve">effectively regulated against. </w:t>
      </w:r>
    </w:p>
    <w:p w14:paraId="22AF7836" w14:textId="7E97A3F5" w:rsidR="00DB19F7" w:rsidRPr="00BB132D" w:rsidRDefault="00DB19F7" w:rsidP="00BB132D">
      <w:pPr>
        <w:pStyle w:val="Heading2"/>
      </w:pPr>
      <w:r w:rsidRPr="00BB132D">
        <w:t>What are we seeking</w:t>
      </w:r>
      <w:r w:rsidR="004A7209" w:rsidRPr="00BB132D">
        <w:t>?</w:t>
      </w:r>
    </w:p>
    <w:p w14:paraId="40A37467" w14:textId="3C6D2751" w:rsidR="003C23E2" w:rsidRDefault="00477E75" w:rsidP="00652613">
      <w:pPr>
        <w:spacing w:after="240"/>
      </w:pPr>
      <w:r>
        <w:t>Through this consultation process we are interested in identifying wh</w:t>
      </w:r>
      <w:r w:rsidR="001245AA">
        <w:t xml:space="preserve">ether the requirements in the current Standards are appropriate to ensure </w:t>
      </w:r>
      <w:r w:rsidR="00F90A30">
        <w:t xml:space="preserve">quality within the sector, as </w:t>
      </w:r>
      <w:r w:rsidR="001245AA">
        <w:t xml:space="preserve">well as identifying what </w:t>
      </w:r>
      <w:r>
        <w:t>high</w:t>
      </w:r>
      <w:r w:rsidR="004D35BC">
        <w:t>-</w:t>
      </w:r>
      <w:r>
        <w:t>quality</w:t>
      </w:r>
      <w:r w:rsidR="00184A04">
        <w:t>, or excellent,</w:t>
      </w:r>
      <w:r>
        <w:t xml:space="preserve"> training</w:t>
      </w:r>
      <w:r w:rsidR="00051DE1">
        <w:t xml:space="preserve"> delivery</w:t>
      </w:r>
      <w:r>
        <w:t xml:space="preserve"> looks like in Australia. </w:t>
      </w:r>
      <w:r w:rsidR="00051DE1">
        <w:t xml:space="preserve">While all RTOs must </w:t>
      </w:r>
      <w:r w:rsidR="00D62680">
        <w:t>comply with</w:t>
      </w:r>
      <w:r w:rsidR="00051DE1">
        <w:t xml:space="preserve"> the</w:t>
      </w:r>
      <w:r w:rsidR="00D62680">
        <w:t xml:space="preserve"> Standards</w:t>
      </w:r>
      <w:r w:rsidR="004D35BC">
        <w:t>,</w:t>
      </w:r>
      <w:r w:rsidR="00D62680">
        <w:t xml:space="preserve"> </w:t>
      </w:r>
      <w:r w:rsidR="00051DE1">
        <w:t xml:space="preserve">many RTOs deliver a service above and beyond </w:t>
      </w:r>
      <w:r w:rsidR="00184A04">
        <w:t xml:space="preserve">the requirements of the </w:t>
      </w:r>
      <w:r w:rsidR="00051DE1">
        <w:t>Standards. What differentiates these providers</w:t>
      </w:r>
      <w:r w:rsidR="00E1562F">
        <w:t xml:space="preserve"> that deliver above and beyond</w:t>
      </w:r>
      <w:r w:rsidR="00051DE1">
        <w:t xml:space="preserve">? </w:t>
      </w:r>
      <w:r w:rsidRPr="002F35CA">
        <w:t>What are the similarities across training provider types</w:t>
      </w:r>
      <w:r>
        <w:t xml:space="preserve">, </w:t>
      </w:r>
      <w:r w:rsidR="00051DE1">
        <w:t xml:space="preserve">and </w:t>
      </w:r>
      <w:r>
        <w:t>what are the experiences of the VET sector, of trainers and assessors, of learners, employers,</w:t>
      </w:r>
      <w:r w:rsidR="00051DE1">
        <w:t xml:space="preserve"> and of RTOs themselves</w:t>
      </w:r>
      <w:r w:rsidR="00E1562F">
        <w:t xml:space="preserve">, in delivering training that </w:t>
      </w:r>
      <w:r w:rsidR="00D62680">
        <w:t xml:space="preserve">far </w:t>
      </w:r>
      <w:r w:rsidR="00E1562F">
        <w:t>exceeds the minimum standard of quality</w:t>
      </w:r>
      <w:r w:rsidR="00051DE1">
        <w:t>?</w:t>
      </w:r>
      <w:r>
        <w:t xml:space="preserve"> What </w:t>
      </w:r>
      <w:r w:rsidR="00051DE1">
        <w:t xml:space="preserve">are the elements of </w:t>
      </w:r>
      <w:r w:rsidR="00DA608A">
        <w:t>high-quality</w:t>
      </w:r>
      <w:r w:rsidR="00051DE1">
        <w:t xml:space="preserve"> </w:t>
      </w:r>
      <w:r w:rsidR="00321527">
        <w:t xml:space="preserve">training </w:t>
      </w:r>
      <w:r w:rsidR="00051DE1">
        <w:t>provision? What differentiates</w:t>
      </w:r>
      <w:r>
        <w:t xml:space="preserve"> high</w:t>
      </w:r>
      <w:r w:rsidR="004D35BC">
        <w:t>-</w:t>
      </w:r>
      <w:r>
        <w:t>quality engagement with employers</w:t>
      </w:r>
      <w:r w:rsidR="00051DE1">
        <w:t xml:space="preserve">, </w:t>
      </w:r>
      <w:r>
        <w:t xml:space="preserve">or </w:t>
      </w:r>
      <w:r w:rsidR="00DA608A">
        <w:t>high-quality</w:t>
      </w:r>
      <w:r>
        <w:t xml:space="preserve"> assessment processes, </w:t>
      </w:r>
      <w:r w:rsidR="00051DE1">
        <w:t xml:space="preserve">or curriculum development, or </w:t>
      </w:r>
      <w:r>
        <w:t>what governance structures do RTOs need to enable them to best facilitate high</w:t>
      </w:r>
      <w:r w:rsidR="004D35BC">
        <w:t>-</w:t>
      </w:r>
      <w:r>
        <w:t>quality training?</w:t>
      </w:r>
      <w:r w:rsidR="00DB19F7">
        <w:t xml:space="preserve"> And what supports do RTOs need to better facilitate high</w:t>
      </w:r>
      <w:r w:rsidR="004D35BC">
        <w:t>-</w:t>
      </w:r>
      <w:r w:rsidR="00DB19F7">
        <w:t>quality training provision?</w:t>
      </w:r>
    </w:p>
    <w:p w14:paraId="59B56384" w14:textId="7EF22DD4" w:rsidR="007B5D8C" w:rsidRDefault="007B5D8C" w:rsidP="00652613">
      <w:pPr>
        <w:spacing w:after="240"/>
      </w:pPr>
      <w:r>
        <w:t xml:space="preserve">Given the </w:t>
      </w:r>
      <w:r w:rsidR="00184A04">
        <w:t xml:space="preserve">importance of the </w:t>
      </w:r>
      <w:r w:rsidR="00321527" w:rsidRPr="00E1562F">
        <w:t>Standards</w:t>
      </w:r>
      <w:r w:rsidR="00184A04">
        <w:t xml:space="preserve"> in maintaining quality within the sector, we also want to identify where the Standards are effective, or ineffective</w:t>
      </w:r>
      <w:r w:rsidR="00956A35">
        <w:t>,</w:t>
      </w:r>
      <w:r w:rsidR="007A402A">
        <w:t xml:space="preserve"> in enabling RTOs to deliver high</w:t>
      </w:r>
      <w:r w:rsidR="004D35BC">
        <w:t>-</w:t>
      </w:r>
      <w:r w:rsidR="007A402A">
        <w:t xml:space="preserve">quality </w:t>
      </w:r>
      <w:r w:rsidR="00024C4F">
        <w:t>training</w:t>
      </w:r>
      <w:r w:rsidR="00184A04">
        <w:t xml:space="preserve">. </w:t>
      </w:r>
      <w:r w:rsidR="00DB19F7">
        <w:t xml:space="preserve">Are there standards or clauses that limit </w:t>
      </w:r>
      <w:r>
        <w:t xml:space="preserve">the delivery of </w:t>
      </w:r>
      <w:r w:rsidR="00024C4F">
        <w:t>high-quality</w:t>
      </w:r>
      <w:r>
        <w:t xml:space="preserve"> training, or </w:t>
      </w:r>
      <w:r w:rsidR="00272544">
        <w:t xml:space="preserve">place </w:t>
      </w:r>
      <w:r>
        <w:t xml:space="preserve">a disproportionate regulatory burden on </w:t>
      </w:r>
      <w:r w:rsidR="00D62680">
        <w:t>RTOs</w:t>
      </w:r>
      <w:r>
        <w:t xml:space="preserve">, or </w:t>
      </w:r>
      <w:r w:rsidR="000E0951">
        <w:t>could</w:t>
      </w:r>
      <w:r w:rsidR="00DB19F7">
        <w:t xml:space="preserve"> be </w:t>
      </w:r>
      <w:r>
        <w:t xml:space="preserve">improved to lift </w:t>
      </w:r>
      <w:r w:rsidR="00DB19F7">
        <w:t>the baseline of quality across the sector</w:t>
      </w:r>
      <w:r w:rsidR="00DC6B69">
        <w:t>?</w:t>
      </w:r>
      <w:r>
        <w:t xml:space="preserve"> Previous sector feedback has identified that some clauses lack prescription – leading to inconsistent interpretation and confusion, and some have too much prescription – </w:t>
      </w:r>
      <w:r w:rsidR="00DB19F7">
        <w:t>limiting the abi</w:t>
      </w:r>
      <w:r>
        <w:t>lity to deliver high quality innovative training. Some clauses are too heavily focussed on process and inputs rather than on the learner outcome</w:t>
      </w:r>
      <w:r w:rsidR="00DB19F7">
        <w:t>s</w:t>
      </w:r>
      <w:r>
        <w:t xml:space="preserve">, while duplication across Standards can lead to RTOs being found non-compliant against several </w:t>
      </w:r>
      <w:r w:rsidR="00B82D86">
        <w:t>s</w:t>
      </w:r>
      <w:r>
        <w:t xml:space="preserve">tandards for the one issue. </w:t>
      </w:r>
      <w:r w:rsidR="007A402A">
        <w:t>In addition, many RTOs have to comply with the Standards alongside other requirements from jurisdictions or industry</w:t>
      </w:r>
      <w:r w:rsidR="00B82D86">
        <w:t>.</w:t>
      </w:r>
      <w:r w:rsidR="007A402A">
        <w:t xml:space="preserve"> </w:t>
      </w:r>
      <w:r w:rsidR="00B82D86">
        <w:t>A</w:t>
      </w:r>
      <w:r w:rsidR="007A402A">
        <w:t xml:space="preserve">re there areas where the Standards create undue burden in achieving this? </w:t>
      </w:r>
      <w:r>
        <w:t xml:space="preserve">We are interested in seeking feedback </w:t>
      </w:r>
      <w:r w:rsidR="00DB19F7">
        <w:t xml:space="preserve">from </w:t>
      </w:r>
      <w:r>
        <w:t xml:space="preserve">those with in-depth knowledge of the Standards, as well as those </w:t>
      </w:r>
      <w:r w:rsidR="00DC6B69">
        <w:t>who have varying levels of engagement with t</w:t>
      </w:r>
      <w:r>
        <w:t xml:space="preserve">he </w:t>
      </w:r>
      <w:r w:rsidR="006E4AC5">
        <w:t xml:space="preserve">VET </w:t>
      </w:r>
      <w:r>
        <w:t xml:space="preserve">sector, including employers, learners, </w:t>
      </w:r>
      <w:r w:rsidR="00D62680">
        <w:t xml:space="preserve">parents and carers, and </w:t>
      </w:r>
      <w:r>
        <w:t xml:space="preserve">VET experts, who have views on </w:t>
      </w:r>
      <w:r w:rsidR="004E2B07">
        <w:t>whether</w:t>
      </w:r>
      <w:r>
        <w:t xml:space="preserve"> the minimum level of quality </w:t>
      </w:r>
      <w:r w:rsidR="004A7209">
        <w:t>should be raised</w:t>
      </w:r>
      <w:r w:rsidR="004E2B07">
        <w:t xml:space="preserve">, either </w:t>
      </w:r>
      <w:r w:rsidR="004A7209">
        <w:t>ov</w:t>
      </w:r>
      <w:r>
        <w:t>erall or in particular areas of training delivery.</w:t>
      </w:r>
    </w:p>
    <w:bookmarkEnd w:id="1"/>
    <w:p w14:paraId="1EB79F77" w14:textId="77777777" w:rsidR="00BE0FBF" w:rsidRPr="00BC6585" w:rsidRDefault="00BE0FBF" w:rsidP="00BB132D">
      <w:pPr>
        <w:pStyle w:val="Heading1"/>
        <w:rPr>
          <w:color w:val="002D3F" w:themeColor="accent1"/>
        </w:rPr>
      </w:pPr>
      <w:r w:rsidRPr="00BC6585">
        <w:rPr>
          <w:color w:val="002D3F" w:themeColor="accent1"/>
        </w:rPr>
        <w:t>Revising the Standards for RTOs</w:t>
      </w:r>
    </w:p>
    <w:p w14:paraId="79477376" w14:textId="5E5B693D" w:rsidR="007A402A" w:rsidRDefault="007C24D6" w:rsidP="00BE0FBF">
      <w:r>
        <w:t xml:space="preserve">The current Standards have been in operation since 2015. </w:t>
      </w:r>
      <w:r w:rsidR="00184A04">
        <w:t xml:space="preserve">The Standards have a central role in ensuring </w:t>
      </w:r>
      <w:r w:rsidR="00184A04" w:rsidRPr="00184A04">
        <w:t>nationally consistent</w:t>
      </w:r>
      <w:r w:rsidR="00184A04">
        <w:t>,</w:t>
      </w:r>
      <w:r w:rsidR="00184A04" w:rsidRPr="00184A04">
        <w:t xml:space="preserve"> </w:t>
      </w:r>
      <w:r w:rsidR="00184A04">
        <w:t xml:space="preserve">and </w:t>
      </w:r>
      <w:r w:rsidR="00184A04" w:rsidRPr="00184A04">
        <w:t>high-quality</w:t>
      </w:r>
      <w:r w:rsidR="00184A04">
        <w:t>,</w:t>
      </w:r>
      <w:r w:rsidR="00184A04" w:rsidRPr="00184A04">
        <w:t xml:space="preserve"> training and assessment</w:t>
      </w:r>
      <w:r w:rsidR="00184A04">
        <w:t xml:space="preserve">. Compliance with the Standards helps to ensure </w:t>
      </w:r>
      <w:r w:rsidR="006E4AC5">
        <w:t xml:space="preserve">RTOs provide services which enable </w:t>
      </w:r>
      <w:r w:rsidR="00184A04">
        <w:t xml:space="preserve">learners to make informed decisions </w:t>
      </w:r>
      <w:r w:rsidR="00184A04">
        <w:lastRenderedPageBreak/>
        <w:t>and receive training which is responsive to both their needs and that of their employer, that RTOs maintain strong linkages with industry to ensure their services a</w:t>
      </w:r>
      <w:r w:rsidR="006E4AC5">
        <w:t>re</w:t>
      </w:r>
      <w:r w:rsidR="00184A04">
        <w:t xml:space="preserve"> relevant</w:t>
      </w:r>
      <w:r w:rsidR="00B82D86">
        <w:t>,</w:t>
      </w:r>
      <w:r w:rsidR="00184A04">
        <w:t xml:space="preserve"> and learners are </w:t>
      </w:r>
      <w:r w:rsidR="006B4A5F">
        <w:t>job ready</w:t>
      </w:r>
      <w:r w:rsidR="00B634EC">
        <w:t>. T</w:t>
      </w:r>
      <w:r w:rsidR="006E4AC5">
        <w:t xml:space="preserve">he Standards </w:t>
      </w:r>
      <w:r w:rsidR="00B634EC">
        <w:t xml:space="preserve">also </w:t>
      </w:r>
      <w:r w:rsidR="007A402A">
        <w:t xml:space="preserve">provide </w:t>
      </w:r>
      <w:r w:rsidR="00184A04">
        <w:t xml:space="preserve">RTOs </w:t>
      </w:r>
      <w:r w:rsidR="007A402A">
        <w:t xml:space="preserve">with </w:t>
      </w:r>
      <w:r w:rsidR="006E4AC5">
        <w:t xml:space="preserve">a </w:t>
      </w:r>
      <w:r w:rsidR="00184A04">
        <w:t>framework which aims to provide flexibility to enable innovation while ensuring quality. For the broader community</w:t>
      </w:r>
      <w:r w:rsidR="00785F4A">
        <w:t>,</w:t>
      </w:r>
      <w:r w:rsidR="00184A04">
        <w:t xml:space="preserve"> the Standards underpin the quality of the sector which </w:t>
      </w:r>
      <w:r w:rsidR="007A402A">
        <w:t xml:space="preserve">helps to </w:t>
      </w:r>
      <w:r w:rsidR="00184A04">
        <w:t xml:space="preserve">ensure </w:t>
      </w:r>
      <w:r w:rsidR="006E4AC5">
        <w:t xml:space="preserve">everyone can have </w:t>
      </w:r>
      <w:r w:rsidR="00184A04">
        <w:t xml:space="preserve">confidence in the ability of the sector to deliver the skills that are required. </w:t>
      </w:r>
    </w:p>
    <w:p w14:paraId="056D49E9" w14:textId="20E89314" w:rsidR="007C24D6" w:rsidRDefault="007C24D6" w:rsidP="00BE0FBF">
      <w:r>
        <w:t>While</w:t>
      </w:r>
      <w:r w:rsidR="00D63A8C">
        <w:t xml:space="preserve"> wholesale changes </w:t>
      </w:r>
      <w:r w:rsidR="007A402A">
        <w:t xml:space="preserve">to the Standards </w:t>
      </w:r>
      <w:r w:rsidR="00D63A8C">
        <w:t>are unlikely to be required to make them fit</w:t>
      </w:r>
      <w:r w:rsidR="00785F4A">
        <w:t>-</w:t>
      </w:r>
      <w:r w:rsidR="00D63A8C">
        <w:t>for</w:t>
      </w:r>
      <w:r w:rsidR="00785F4A">
        <w:t>-</w:t>
      </w:r>
      <w:r w:rsidR="00D63A8C">
        <w:t>purpose, changes are likely to be required to ensure tha</w:t>
      </w:r>
      <w:r>
        <w:t>t:</w:t>
      </w:r>
    </w:p>
    <w:p w14:paraId="4CB93387" w14:textId="155F1BB1" w:rsidR="007C24D6" w:rsidRDefault="00EF0C8F" w:rsidP="00072045">
      <w:pPr>
        <w:pStyle w:val="ListParagraph"/>
        <w:numPr>
          <w:ilvl w:val="0"/>
          <w:numId w:val="23"/>
        </w:numPr>
        <w:spacing w:line="276" w:lineRule="auto"/>
      </w:pPr>
      <w:r>
        <w:t xml:space="preserve">where gaps or duplication </w:t>
      </w:r>
      <w:r w:rsidR="007C24D6">
        <w:t>are</w:t>
      </w:r>
      <w:r>
        <w:t xml:space="preserve"> identified</w:t>
      </w:r>
      <w:r w:rsidR="00785F4A">
        <w:t>,</w:t>
      </w:r>
      <w:r>
        <w:t xml:space="preserve"> this is acknowledged and addressed </w:t>
      </w:r>
      <w:r w:rsidR="00400F97">
        <w:t>as</w:t>
      </w:r>
      <w:r>
        <w:t xml:space="preserve"> appropriate</w:t>
      </w:r>
    </w:p>
    <w:p w14:paraId="77FAB19C" w14:textId="77777777" w:rsidR="007C24D6" w:rsidRDefault="007C24D6" w:rsidP="00072045">
      <w:pPr>
        <w:pStyle w:val="ListParagraph"/>
        <w:numPr>
          <w:ilvl w:val="0"/>
          <w:numId w:val="23"/>
        </w:numPr>
        <w:spacing w:line="276" w:lineRule="auto"/>
      </w:pPr>
      <w:r>
        <w:t>the Standards and requirements are clear and support consistent interpretation by both the sector and the regulator</w:t>
      </w:r>
    </w:p>
    <w:p w14:paraId="677C9944" w14:textId="7CB61C54" w:rsidR="007C24D6" w:rsidRDefault="00EF0C8F" w:rsidP="00072045">
      <w:pPr>
        <w:pStyle w:val="ListParagraph"/>
        <w:numPr>
          <w:ilvl w:val="0"/>
          <w:numId w:val="23"/>
        </w:numPr>
        <w:spacing w:line="276" w:lineRule="auto"/>
      </w:pPr>
      <w:r>
        <w:t>the Standards give providers a clear understanding of what a quality outcome</w:t>
      </w:r>
      <w:r w:rsidR="000B2473">
        <w:t xml:space="preserve"> is</w:t>
      </w:r>
      <w:r>
        <w:t xml:space="preserve">, rather than being driven by </w:t>
      </w:r>
      <w:r w:rsidR="007C24D6">
        <w:t>inputs and processes</w:t>
      </w:r>
    </w:p>
    <w:p w14:paraId="3210BF9D" w14:textId="77777777" w:rsidR="007C24D6" w:rsidRDefault="00400F97" w:rsidP="00072045">
      <w:pPr>
        <w:pStyle w:val="ListParagraph"/>
        <w:numPr>
          <w:ilvl w:val="0"/>
          <w:numId w:val="23"/>
        </w:numPr>
        <w:spacing w:line="276" w:lineRule="auto"/>
      </w:pPr>
      <w:r>
        <w:t>t</w:t>
      </w:r>
      <w:r w:rsidR="007C24D6">
        <w:t xml:space="preserve">he minimum level of quality for RTOs to operate in the sector, as specified in the </w:t>
      </w:r>
      <w:r w:rsidR="00EF0C8F">
        <w:t>Standards</w:t>
      </w:r>
      <w:r w:rsidR="007C24D6">
        <w:t xml:space="preserve">, is </w:t>
      </w:r>
      <w:r>
        <w:t>appropriate</w:t>
      </w:r>
      <w:r w:rsidR="00EF0C8F">
        <w:t xml:space="preserve">. </w:t>
      </w:r>
    </w:p>
    <w:p w14:paraId="4793B1D1" w14:textId="027F51A9" w:rsidR="007C24D6" w:rsidRDefault="00400F97" w:rsidP="00400F97">
      <w:r>
        <w:t>M</w:t>
      </w:r>
      <w:r w:rsidR="00F50AF5">
        <w:t xml:space="preserve">any RTOs </w:t>
      </w:r>
      <w:r>
        <w:t>also</w:t>
      </w:r>
      <w:r w:rsidR="00F50AF5">
        <w:t xml:space="preserve"> have to comply with a variety of other requirements in addition to meeting the Standards</w:t>
      </w:r>
      <w:r w:rsidR="008F0845">
        <w:t>.</w:t>
      </w:r>
      <w:r w:rsidR="00F50AF5">
        <w:t xml:space="preserve"> </w:t>
      </w:r>
      <w:r w:rsidR="008F0845">
        <w:t>T</w:t>
      </w:r>
      <w:r w:rsidR="00F50AF5">
        <w:t xml:space="preserve">his may include requirements under state and territory guidelines, </w:t>
      </w:r>
      <w:r w:rsidR="00704A32">
        <w:t xml:space="preserve">VET </w:t>
      </w:r>
      <w:r w:rsidR="00F50AF5">
        <w:t xml:space="preserve">Student Loans (VSL), or Education Standards for Overseas Students (ESOS). It is important that where the Standards can ease regulatory </w:t>
      </w:r>
      <w:r w:rsidR="006A1979">
        <w:t>burden or</w:t>
      </w:r>
      <w:r>
        <w:t xml:space="preserve"> can better align with other requirements </w:t>
      </w:r>
      <w:r w:rsidR="00F50AF5">
        <w:t xml:space="preserve">without having an impact on quality, that this is also explored. </w:t>
      </w:r>
    </w:p>
    <w:p w14:paraId="08197938" w14:textId="77777777" w:rsidR="00EF0C8F" w:rsidRDefault="00EF0C8F" w:rsidP="00BB132D">
      <w:pPr>
        <w:pStyle w:val="Heading2"/>
      </w:pPr>
      <w:r w:rsidRPr="003353F9">
        <w:t>Gaps in the Standards</w:t>
      </w:r>
    </w:p>
    <w:p w14:paraId="544C0819" w14:textId="77777777" w:rsidR="00BE0FBF" w:rsidRDefault="00400F97" w:rsidP="00BE0FBF">
      <w:r>
        <w:t>A</w:t>
      </w:r>
      <w:r w:rsidR="00EF0C8F">
        <w:t xml:space="preserve"> comparison of the Standards against comparable international and domestic sectors show there are </w:t>
      </w:r>
      <w:r w:rsidR="00B3097A">
        <w:t xml:space="preserve">some gaps </w:t>
      </w:r>
      <w:r w:rsidR="00EF0C8F">
        <w:t xml:space="preserve">which the Standards do not cover. </w:t>
      </w:r>
      <w:r w:rsidR="00BE0FBF">
        <w:t xml:space="preserve">The following table </w:t>
      </w:r>
      <w:r w:rsidR="00B3097A">
        <w:t xml:space="preserve">identifies </w:t>
      </w:r>
      <w:r w:rsidR="00EF0C8F">
        <w:t xml:space="preserve">these </w:t>
      </w:r>
      <w:r w:rsidR="00BE0FBF">
        <w:t xml:space="preserve">gaps. </w:t>
      </w:r>
    </w:p>
    <w:tbl>
      <w:tblPr>
        <w:tblStyle w:val="TableGrid"/>
        <w:tblW w:w="9386" w:type="dxa"/>
        <w:tblLook w:val="04A0" w:firstRow="1" w:lastRow="0" w:firstColumn="1" w:lastColumn="0" w:noHBand="0" w:noVBand="1"/>
      </w:tblPr>
      <w:tblGrid>
        <w:gridCol w:w="2122"/>
        <w:gridCol w:w="3419"/>
        <w:gridCol w:w="3845"/>
      </w:tblGrid>
      <w:tr w:rsidR="00BE0FBF" w:rsidRPr="00BB132D" w14:paraId="1D3E43E6" w14:textId="77777777" w:rsidTr="00BB132D">
        <w:trPr>
          <w:trHeight w:val="454"/>
        </w:trPr>
        <w:tc>
          <w:tcPr>
            <w:tcW w:w="2122" w:type="dxa"/>
            <w:shd w:val="clear" w:color="auto" w:fill="002D3F" w:themeFill="accent1"/>
            <w:vAlign w:val="center"/>
          </w:tcPr>
          <w:p w14:paraId="03DF8E1D" w14:textId="77777777" w:rsidR="00BE0FBF" w:rsidRPr="00BB132D" w:rsidRDefault="00BE0FBF" w:rsidP="00BB132D">
            <w:pPr>
              <w:spacing w:after="0" w:line="259" w:lineRule="auto"/>
              <w:jc w:val="center"/>
              <w:rPr>
                <w:b/>
                <w:bCs/>
              </w:rPr>
            </w:pPr>
            <w:r w:rsidRPr="00BB132D">
              <w:rPr>
                <w:b/>
                <w:bCs/>
              </w:rPr>
              <w:t>Possible Gap</w:t>
            </w:r>
          </w:p>
        </w:tc>
        <w:tc>
          <w:tcPr>
            <w:tcW w:w="3419" w:type="dxa"/>
            <w:shd w:val="clear" w:color="auto" w:fill="002D3F" w:themeFill="accent1"/>
            <w:vAlign w:val="center"/>
          </w:tcPr>
          <w:p w14:paraId="325B98A5" w14:textId="77777777" w:rsidR="00BE0FBF" w:rsidRPr="00BB132D" w:rsidRDefault="00BE0FBF" w:rsidP="00BB132D">
            <w:pPr>
              <w:spacing w:after="0" w:line="259" w:lineRule="auto"/>
              <w:jc w:val="center"/>
              <w:rPr>
                <w:b/>
                <w:bCs/>
              </w:rPr>
            </w:pPr>
            <w:r w:rsidRPr="00BB132D">
              <w:rPr>
                <w:b/>
                <w:bCs/>
              </w:rPr>
              <w:t>Current Arrangements</w:t>
            </w:r>
          </w:p>
        </w:tc>
        <w:tc>
          <w:tcPr>
            <w:tcW w:w="3845" w:type="dxa"/>
            <w:shd w:val="clear" w:color="auto" w:fill="002D3F" w:themeFill="accent1"/>
            <w:vAlign w:val="center"/>
          </w:tcPr>
          <w:p w14:paraId="7EFBCEED" w14:textId="77777777" w:rsidR="00BE0FBF" w:rsidRPr="00BB132D" w:rsidRDefault="00BE0FBF" w:rsidP="00BB132D">
            <w:pPr>
              <w:spacing w:after="0" w:line="259" w:lineRule="auto"/>
              <w:jc w:val="center"/>
              <w:rPr>
                <w:b/>
                <w:bCs/>
              </w:rPr>
            </w:pPr>
            <w:r w:rsidRPr="00BB132D">
              <w:rPr>
                <w:b/>
                <w:bCs/>
              </w:rPr>
              <w:t>Comparator Approaches</w:t>
            </w:r>
          </w:p>
        </w:tc>
      </w:tr>
      <w:tr w:rsidR="00BE0FBF" w14:paraId="7CB40FA7" w14:textId="77777777" w:rsidTr="003353F9">
        <w:trPr>
          <w:trHeight w:val="416"/>
        </w:trPr>
        <w:tc>
          <w:tcPr>
            <w:tcW w:w="2122" w:type="dxa"/>
          </w:tcPr>
          <w:p w14:paraId="78BF944F" w14:textId="77777777" w:rsidR="00BE0FBF" w:rsidRDefault="00BE0FBF" w:rsidP="005F294A">
            <w:pPr>
              <w:spacing w:after="160" w:line="259" w:lineRule="auto"/>
            </w:pPr>
            <w:r>
              <w:t xml:space="preserve">Completion and employment outcomes </w:t>
            </w:r>
          </w:p>
        </w:tc>
        <w:tc>
          <w:tcPr>
            <w:tcW w:w="3419" w:type="dxa"/>
          </w:tcPr>
          <w:p w14:paraId="68A99F05" w14:textId="77777777" w:rsidR="00BE0FBF" w:rsidRDefault="00BE0FBF" w:rsidP="005F294A">
            <w:pPr>
              <w:spacing w:after="160" w:line="259" w:lineRule="auto"/>
            </w:pPr>
            <w:r>
              <w:t>There are no standards or clauses which focus specifically on learning outcomes beyond the requirements of the unit of competency and training package and the Australian Qualifications Framework.</w:t>
            </w:r>
          </w:p>
        </w:tc>
        <w:tc>
          <w:tcPr>
            <w:tcW w:w="3845" w:type="dxa"/>
          </w:tcPr>
          <w:p w14:paraId="4E467AA0" w14:textId="77777777" w:rsidR="00BE0FBF" w:rsidRDefault="00BE0FBF" w:rsidP="005F294A">
            <w:pPr>
              <w:spacing w:after="160" w:line="259" w:lineRule="auto"/>
            </w:pPr>
            <w:r>
              <w:t>The Australian higher education sector and VET sectors in comparable jurisdictions including New Zealand, England and Korea evaluate educational attainment outcomes including:</w:t>
            </w:r>
          </w:p>
          <w:p w14:paraId="00DB36FA" w14:textId="77777777" w:rsidR="00BE0FBF" w:rsidRDefault="00BE0FBF" w:rsidP="00072045">
            <w:pPr>
              <w:pStyle w:val="ListParagraph"/>
              <w:numPr>
                <w:ilvl w:val="0"/>
                <w:numId w:val="24"/>
              </w:numPr>
              <w:spacing w:after="160" w:line="259" w:lineRule="auto"/>
            </w:pPr>
            <w:r>
              <w:t>the attainment of useful skills and knowledge</w:t>
            </w:r>
          </w:p>
          <w:p w14:paraId="74D8C90B" w14:textId="77777777" w:rsidR="00BE0FBF" w:rsidRDefault="00BE0FBF" w:rsidP="00072045">
            <w:pPr>
              <w:pStyle w:val="ListParagraph"/>
              <w:numPr>
                <w:ilvl w:val="0"/>
                <w:numId w:val="24"/>
              </w:numPr>
              <w:spacing w:after="160" w:line="259" w:lineRule="auto"/>
            </w:pPr>
            <w:r>
              <w:t>readiness for or engagement with further study or employment</w:t>
            </w:r>
          </w:p>
          <w:p w14:paraId="3BA59BFD" w14:textId="77777777" w:rsidR="00BE0FBF" w:rsidRDefault="00BE0FBF" w:rsidP="00072045">
            <w:pPr>
              <w:pStyle w:val="ListParagraph"/>
              <w:numPr>
                <w:ilvl w:val="0"/>
                <w:numId w:val="24"/>
              </w:numPr>
              <w:spacing w:after="160" w:line="259" w:lineRule="auto"/>
            </w:pPr>
            <w:r>
              <w:t>application of new skills and knowledge</w:t>
            </w:r>
          </w:p>
          <w:p w14:paraId="5B5E1AFD" w14:textId="24487ABE" w:rsidR="00BE0FBF" w:rsidRDefault="00624169" w:rsidP="00072045">
            <w:pPr>
              <w:pStyle w:val="ListParagraph"/>
              <w:numPr>
                <w:ilvl w:val="0"/>
                <w:numId w:val="24"/>
              </w:numPr>
              <w:spacing w:after="160" w:line="259" w:lineRule="auto"/>
            </w:pPr>
            <w:r>
              <w:t xml:space="preserve">learner </w:t>
            </w:r>
            <w:r w:rsidR="00BE0FBF">
              <w:t>satisfaction</w:t>
            </w:r>
          </w:p>
          <w:p w14:paraId="443E5332" w14:textId="77777777" w:rsidR="00BE0FBF" w:rsidRDefault="00BE0FBF" w:rsidP="00072045">
            <w:pPr>
              <w:pStyle w:val="ListParagraph"/>
              <w:numPr>
                <w:ilvl w:val="0"/>
                <w:numId w:val="24"/>
              </w:numPr>
              <w:spacing w:after="160" w:line="259" w:lineRule="auto"/>
            </w:pPr>
            <w:r>
              <w:t>positive community contribution</w:t>
            </w:r>
          </w:p>
          <w:p w14:paraId="260A8599" w14:textId="77777777" w:rsidR="00BE0FBF" w:rsidRDefault="00BE0FBF" w:rsidP="00072045">
            <w:pPr>
              <w:pStyle w:val="ListParagraph"/>
              <w:numPr>
                <w:ilvl w:val="0"/>
                <w:numId w:val="24"/>
              </w:numPr>
              <w:spacing w:after="160" w:line="259" w:lineRule="auto"/>
            </w:pPr>
            <w:r>
              <w:t>salary levels.</w:t>
            </w:r>
          </w:p>
        </w:tc>
      </w:tr>
      <w:tr w:rsidR="00BE0FBF" w14:paraId="2F73AE97" w14:textId="77777777" w:rsidTr="003353F9">
        <w:trPr>
          <w:trHeight w:val="2223"/>
        </w:trPr>
        <w:tc>
          <w:tcPr>
            <w:tcW w:w="2122" w:type="dxa"/>
          </w:tcPr>
          <w:p w14:paraId="22C9680A" w14:textId="77777777" w:rsidR="00BE0FBF" w:rsidRDefault="00BE0FBF" w:rsidP="005F294A">
            <w:pPr>
              <w:spacing w:after="160" w:line="259" w:lineRule="auto"/>
            </w:pPr>
            <w:r>
              <w:lastRenderedPageBreak/>
              <w:t>Diversity and inclusion</w:t>
            </w:r>
          </w:p>
        </w:tc>
        <w:tc>
          <w:tcPr>
            <w:tcW w:w="3419" w:type="dxa"/>
          </w:tcPr>
          <w:p w14:paraId="23A9108A" w14:textId="77777777" w:rsidR="00BE0FBF" w:rsidRDefault="00EF0C8F" w:rsidP="00EF0C8F">
            <w:pPr>
              <w:spacing w:after="160" w:line="259" w:lineRule="auto"/>
            </w:pPr>
            <w:r>
              <w:t>T</w:t>
            </w:r>
            <w:r w:rsidR="00BE0FBF">
              <w:t xml:space="preserve">he Standards stipulate </w:t>
            </w:r>
            <w:r>
              <w:t>R</w:t>
            </w:r>
            <w:r w:rsidR="00BE0FBF">
              <w:t xml:space="preserve">TOs must identify individual learners’ support needs and provide access to necessary educational and support services, </w:t>
            </w:r>
            <w:r>
              <w:t xml:space="preserve">however there are no </w:t>
            </w:r>
            <w:r w:rsidR="00BE0FBF">
              <w:t>specific requirements related to diversity, access and inclusion, and student support.</w:t>
            </w:r>
          </w:p>
        </w:tc>
        <w:tc>
          <w:tcPr>
            <w:tcW w:w="3845" w:type="dxa"/>
          </w:tcPr>
          <w:p w14:paraId="27EC4DDC" w14:textId="0B999AC0" w:rsidR="00BE0FBF" w:rsidRDefault="00BE0FBF" w:rsidP="005F294A">
            <w:pPr>
              <w:spacing w:after="160" w:line="259" w:lineRule="auto"/>
            </w:pPr>
            <w:r>
              <w:t xml:space="preserve">Comparator standards and frameworks provide more specific </w:t>
            </w:r>
            <w:r w:rsidR="00624169">
              <w:t xml:space="preserve">learner </w:t>
            </w:r>
            <w:r>
              <w:t xml:space="preserve">support requirements with respect to learners of diverse cultures and abilities, and more explicitly address diversity and equity, including a promoting a broader positive culture of respect and inclusion. </w:t>
            </w:r>
          </w:p>
        </w:tc>
      </w:tr>
      <w:tr w:rsidR="00BE0FBF" w14:paraId="4B4B4D14" w14:textId="77777777" w:rsidTr="003353F9">
        <w:trPr>
          <w:trHeight w:val="2555"/>
        </w:trPr>
        <w:tc>
          <w:tcPr>
            <w:tcW w:w="2122" w:type="dxa"/>
          </w:tcPr>
          <w:p w14:paraId="03FD9D24" w14:textId="77777777" w:rsidR="00BE0FBF" w:rsidRDefault="00BE0FBF" w:rsidP="005F294A">
            <w:pPr>
              <w:spacing w:after="160" w:line="259" w:lineRule="auto"/>
            </w:pPr>
            <w:r>
              <w:t>Leadership</w:t>
            </w:r>
          </w:p>
        </w:tc>
        <w:tc>
          <w:tcPr>
            <w:tcW w:w="3419" w:type="dxa"/>
          </w:tcPr>
          <w:p w14:paraId="33823017" w14:textId="328115AE" w:rsidR="00BE0FBF" w:rsidRDefault="00B3097A" w:rsidP="00EF0C8F">
            <w:pPr>
              <w:spacing w:after="160" w:line="259" w:lineRule="auto"/>
            </w:pPr>
            <w:r>
              <w:t>T</w:t>
            </w:r>
            <w:r w:rsidR="00BE0FBF">
              <w:t>he Standards include clauses related to governance, including processes and systems</w:t>
            </w:r>
            <w:r w:rsidR="00EF0C8F">
              <w:t xml:space="preserve">. </w:t>
            </w:r>
            <w:r w:rsidR="006A1979">
              <w:t>However,</w:t>
            </w:r>
            <w:r>
              <w:t xml:space="preserve"> </w:t>
            </w:r>
            <w:r w:rsidR="00BE0FBF">
              <w:t xml:space="preserve">they </w:t>
            </w:r>
            <w:r>
              <w:t>have minimal</w:t>
            </w:r>
            <w:r w:rsidR="00BE0FBF">
              <w:t xml:space="preserve"> focus on leadership beyond requiring executive officers be vested with sufficient authority to ensure compliance with the Standards and meet the Fit and Proper Person Requirements. </w:t>
            </w:r>
          </w:p>
        </w:tc>
        <w:tc>
          <w:tcPr>
            <w:tcW w:w="3845" w:type="dxa"/>
          </w:tcPr>
          <w:p w14:paraId="247BBD2C" w14:textId="77777777" w:rsidR="00BE0FBF" w:rsidRDefault="00BE0FBF" w:rsidP="005F294A">
            <w:pPr>
              <w:spacing w:after="160" w:line="259" w:lineRule="auto"/>
            </w:pPr>
            <w:r>
              <w:t xml:space="preserve">Comparable </w:t>
            </w:r>
            <w:r w:rsidRPr="00AC2975">
              <w:t>standards and sectors include a focus on</w:t>
            </w:r>
            <w:r>
              <w:t>:</w:t>
            </w:r>
            <w:r w:rsidRPr="00AC2975">
              <w:t xml:space="preserve"> </w:t>
            </w:r>
          </w:p>
          <w:p w14:paraId="3A14FA28" w14:textId="77777777" w:rsidR="00BE0FBF" w:rsidRDefault="00BE0FBF" w:rsidP="00072045">
            <w:pPr>
              <w:pStyle w:val="ListParagraph"/>
              <w:numPr>
                <w:ilvl w:val="0"/>
                <w:numId w:val="25"/>
              </w:numPr>
              <w:spacing w:after="160" w:line="259" w:lineRule="auto"/>
            </w:pPr>
            <w:r w:rsidRPr="00AC2975">
              <w:t>organisational leadership</w:t>
            </w:r>
          </w:p>
          <w:p w14:paraId="51CD9AB6" w14:textId="77777777" w:rsidR="00BE0FBF" w:rsidRDefault="00BE0FBF" w:rsidP="00072045">
            <w:pPr>
              <w:pStyle w:val="ListParagraph"/>
              <w:numPr>
                <w:ilvl w:val="0"/>
                <w:numId w:val="25"/>
              </w:numPr>
              <w:spacing w:after="160" w:line="259" w:lineRule="auto"/>
            </w:pPr>
            <w:r w:rsidRPr="00AC2975">
              <w:t>fostering a positive organisational culture</w:t>
            </w:r>
          </w:p>
          <w:p w14:paraId="57B50B36" w14:textId="77777777" w:rsidR="00BE0FBF" w:rsidRDefault="00BE0FBF" w:rsidP="00072045">
            <w:pPr>
              <w:pStyle w:val="ListParagraph"/>
              <w:numPr>
                <w:ilvl w:val="0"/>
                <w:numId w:val="25"/>
              </w:numPr>
              <w:spacing w:after="160" w:line="259" w:lineRule="auto"/>
            </w:pPr>
            <w:r w:rsidRPr="00AC2975">
              <w:t>building a professional learning community</w:t>
            </w:r>
          </w:p>
          <w:p w14:paraId="577C0150" w14:textId="77777777" w:rsidR="00BE0FBF" w:rsidRDefault="00BE0FBF" w:rsidP="00072045">
            <w:pPr>
              <w:pStyle w:val="ListParagraph"/>
              <w:numPr>
                <w:ilvl w:val="0"/>
                <w:numId w:val="25"/>
              </w:numPr>
              <w:spacing w:after="160" w:line="259" w:lineRule="auto"/>
            </w:pPr>
            <w:r w:rsidRPr="00AC2975">
              <w:t>managerial support for educational achievement.</w:t>
            </w:r>
          </w:p>
        </w:tc>
      </w:tr>
      <w:tr w:rsidR="00BE0FBF" w14:paraId="26164B46" w14:textId="77777777" w:rsidTr="003353F9">
        <w:trPr>
          <w:trHeight w:val="2684"/>
        </w:trPr>
        <w:tc>
          <w:tcPr>
            <w:tcW w:w="2122" w:type="dxa"/>
          </w:tcPr>
          <w:p w14:paraId="22D8CB23" w14:textId="77777777" w:rsidR="00BE0FBF" w:rsidRDefault="00BE0FBF" w:rsidP="005F294A">
            <w:pPr>
              <w:spacing w:after="160" w:line="259" w:lineRule="auto"/>
            </w:pPr>
            <w:r>
              <w:t xml:space="preserve">Learner wellbeing </w:t>
            </w:r>
          </w:p>
        </w:tc>
        <w:tc>
          <w:tcPr>
            <w:tcW w:w="3419" w:type="dxa"/>
          </w:tcPr>
          <w:p w14:paraId="71F5D381" w14:textId="65F1788D" w:rsidR="00BE0FBF" w:rsidRDefault="00BE0FBF" w:rsidP="00EF0C8F">
            <w:pPr>
              <w:spacing w:after="160" w:line="259" w:lineRule="auto"/>
            </w:pPr>
            <w:r>
              <w:t xml:space="preserve">The Standards refer to educational and support services and RTO obligations to </w:t>
            </w:r>
            <w:r w:rsidR="002D0433">
              <w:t>learners and</w:t>
            </w:r>
            <w:r>
              <w:t xml:space="preserve"> require RTOs to determine the support needs of individual learners. However, there are no explicit clauses or standards relating to </w:t>
            </w:r>
            <w:r w:rsidR="00624169">
              <w:t xml:space="preserve">learner </w:t>
            </w:r>
            <w:r>
              <w:t>wellbeing.</w:t>
            </w:r>
          </w:p>
        </w:tc>
        <w:tc>
          <w:tcPr>
            <w:tcW w:w="3845" w:type="dxa"/>
          </w:tcPr>
          <w:p w14:paraId="7EBFFB3D" w14:textId="77777777" w:rsidR="00BE0FBF" w:rsidRDefault="00BE0FBF" w:rsidP="00A71AEC">
            <w:pPr>
              <w:spacing w:after="160" w:line="259" w:lineRule="auto"/>
            </w:pPr>
            <w:r>
              <w:t xml:space="preserve">The </w:t>
            </w:r>
            <w:r w:rsidRPr="00FA3359">
              <w:t>Higher Education Standards Framework (Threshold Standards) 2015</w:t>
            </w:r>
            <w:r>
              <w:t xml:space="preserve"> explicitly addresses student safety and wellbeing. The Braithwaite review recommended that the VET </w:t>
            </w:r>
            <w:r w:rsidRPr="00FA3359">
              <w:t xml:space="preserve">legislative framework be amended </w:t>
            </w:r>
            <w:r>
              <w:t xml:space="preserve">to </w:t>
            </w:r>
            <w:r w:rsidRPr="00FA3359">
              <w:t>align</w:t>
            </w:r>
            <w:r>
              <w:t xml:space="preserve"> with the higher education approach to student wellbeing (Recommendation 21). </w:t>
            </w:r>
          </w:p>
        </w:tc>
      </w:tr>
    </w:tbl>
    <w:p w14:paraId="40527680" w14:textId="77777777" w:rsidR="00BE0FBF" w:rsidRDefault="00BE0FBF" w:rsidP="00BE0FBF">
      <w:pPr>
        <w:spacing w:after="160" w:line="259" w:lineRule="auto"/>
      </w:pPr>
    </w:p>
    <w:p w14:paraId="3698DD93" w14:textId="77777777" w:rsidR="00400F97" w:rsidRDefault="00F50AF5" w:rsidP="00BB132D">
      <w:pPr>
        <w:pStyle w:val="Heading2"/>
      </w:pPr>
      <w:r w:rsidRPr="00400F97">
        <w:t>Improved Clarity</w:t>
      </w:r>
    </w:p>
    <w:p w14:paraId="21791869" w14:textId="4BEC3122" w:rsidR="00400F97" w:rsidRDefault="00400F97" w:rsidP="00400F97">
      <w:r>
        <w:t xml:space="preserve">There is some inherent tension in the Standards in terms of the level of prescription they should provide. </w:t>
      </w:r>
      <w:r w:rsidR="00A71AEC">
        <w:t>Where</w:t>
      </w:r>
      <w:r w:rsidR="00A71AEC" w:rsidRPr="000267BB">
        <w:t xml:space="preserve"> clauses are too prescriptive, this</w:t>
      </w:r>
      <w:r w:rsidR="002D0433">
        <w:t xml:space="preserve"> can provide</w:t>
      </w:r>
      <w:r w:rsidR="00A71AEC" w:rsidRPr="000267BB">
        <w:t xml:space="preserve"> less flexibility for </w:t>
      </w:r>
      <w:r w:rsidR="00A71AEC">
        <w:t>RTOs</w:t>
      </w:r>
      <w:r w:rsidR="00A71AEC" w:rsidRPr="000267BB">
        <w:t xml:space="preserve"> to demonstrate compliance in a way that is logical in the local and operational context</w:t>
      </w:r>
      <w:r w:rsidR="00A71AEC">
        <w:t>, however c</w:t>
      </w:r>
      <w:r>
        <w:t xml:space="preserve">lauses which are overly broad or ambiguous can </w:t>
      </w:r>
      <w:r w:rsidRPr="00FA3359">
        <w:t xml:space="preserve">cause confusion about what is required, leading to inconsistent understanding and application of the </w:t>
      </w:r>
      <w:r>
        <w:t>S</w:t>
      </w:r>
      <w:r w:rsidRPr="00FA3359">
        <w:t>tandards.</w:t>
      </w:r>
      <w:r>
        <w:t xml:space="preserve"> </w:t>
      </w:r>
    </w:p>
    <w:tbl>
      <w:tblPr>
        <w:tblStyle w:val="TableGrid"/>
        <w:tblW w:w="0" w:type="auto"/>
        <w:tblLook w:val="04A0" w:firstRow="1" w:lastRow="0" w:firstColumn="1" w:lastColumn="0" w:noHBand="0" w:noVBand="1"/>
      </w:tblPr>
      <w:tblGrid>
        <w:gridCol w:w="9016"/>
      </w:tblGrid>
      <w:tr w:rsidR="00400F97" w14:paraId="4176837F" w14:textId="77777777" w:rsidTr="00400F97">
        <w:tc>
          <w:tcPr>
            <w:tcW w:w="9016" w:type="dxa"/>
          </w:tcPr>
          <w:p w14:paraId="3DAA3CFA" w14:textId="77777777" w:rsidR="00400F97" w:rsidRPr="003353F9" w:rsidRDefault="00400F97" w:rsidP="00400F97">
            <w:pPr>
              <w:rPr>
                <w:b/>
              </w:rPr>
            </w:pPr>
            <w:r w:rsidRPr="003353F9">
              <w:rPr>
                <w:b/>
              </w:rPr>
              <w:t>Example</w:t>
            </w:r>
            <w:r w:rsidR="00A71AEC" w:rsidRPr="003353F9">
              <w:rPr>
                <w:b/>
              </w:rPr>
              <w:t>s</w:t>
            </w:r>
            <w:r w:rsidRPr="003353F9">
              <w:rPr>
                <w:b/>
              </w:rPr>
              <w:t xml:space="preserve"> of broad and narrow clause</w:t>
            </w:r>
            <w:r w:rsidR="00A71AEC" w:rsidRPr="003353F9">
              <w:rPr>
                <w:b/>
              </w:rPr>
              <w:t>s</w:t>
            </w:r>
            <w:r w:rsidR="00A71AEC">
              <w:rPr>
                <w:b/>
              </w:rPr>
              <w:t xml:space="preserve"> in the Standards</w:t>
            </w:r>
          </w:p>
          <w:p w14:paraId="46F20B93" w14:textId="77777777" w:rsidR="00A71AEC" w:rsidRDefault="00400F97" w:rsidP="00A71AEC">
            <w:r w:rsidRPr="003353F9">
              <w:rPr>
                <w:b/>
              </w:rPr>
              <w:t>Clause 1.1</w:t>
            </w:r>
            <w:r w:rsidR="00A71AEC" w:rsidRPr="003353F9">
              <w:rPr>
                <w:b/>
              </w:rPr>
              <w:t>2</w:t>
            </w:r>
            <w:r w:rsidR="00A71AEC">
              <w:t xml:space="preserve"> -</w:t>
            </w:r>
            <w:r>
              <w:t>The RTO offers recognition of prior learning to individual learners</w:t>
            </w:r>
            <w:r w:rsidR="00A71AEC">
              <w:t xml:space="preserve"> (often cited as too broad)</w:t>
            </w:r>
          </w:p>
          <w:p w14:paraId="4EB2EE8D" w14:textId="5AD74173" w:rsidR="00400F97" w:rsidRDefault="00A71AEC" w:rsidP="00A71AEC">
            <w:r w:rsidRPr="003353F9">
              <w:rPr>
                <w:b/>
              </w:rPr>
              <w:t>Clause 4.1</w:t>
            </w:r>
            <w:r>
              <w:t xml:space="preserve"> - </w:t>
            </w:r>
            <w:r w:rsidRPr="00A71AEC">
              <w:rPr>
                <w:lang w:val="en"/>
              </w:rPr>
              <w:t>Information, whether disseminated directly by the RTO or on its behalf, is both accurate and factual, and</w:t>
            </w:r>
            <w:r w:rsidRPr="00A71AEC">
              <w:t xml:space="preserve"> </w:t>
            </w:r>
            <w:r w:rsidR="006A1979">
              <w:t>[</w:t>
            </w:r>
            <w:r>
              <w:t xml:space="preserve">….meets a list of 14 prescriptive requirements, including specifying </w:t>
            </w:r>
            <w:r>
              <w:lastRenderedPageBreak/>
              <w:t xml:space="preserve">where the RTOs can display the Nationally Recognised Training logo] (often cited as too prescriptive) </w:t>
            </w:r>
          </w:p>
        </w:tc>
      </w:tr>
    </w:tbl>
    <w:p w14:paraId="4FE5E38A" w14:textId="031E673D" w:rsidR="00A71AEC" w:rsidRDefault="00A71AEC" w:rsidP="00400F97">
      <w:r>
        <w:lastRenderedPageBreak/>
        <w:t>It is important that the level of prescription is proportionate and where clauses are broad</w:t>
      </w:r>
      <w:r w:rsidR="006B4A5F">
        <w:t>,</w:t>
      </w:r>
      <w:r>
        <w:t xml:space="preserve"> that the intent is clear, and that duplication is removed wherever possible. </w:t>
      </w:r>
    </w:p>
    <w:p w14:paraId="415702DE" w14:textId="406B40EA" w:rsidR="00A71AEC" w:rsidRDefault="00A71AEC" w:rsidP="00BB132D">
      <w:pPr>
        <w:pStyle w:val="Heading2"/>
      </w:pPr>
      <w:r w:rsidRPr="003353F9">
        <w:t>Outcome</w:t>
      </w:r>
      <w:r w:rsidR="000B2473">
        <w:t>-</w:t>
      </w:r>
      <w:r w:rsidRPr="003353F9">
        <w:t>focussed</w:t>
      </w:r>
    </w:p>
    <w:p w14:paraId="4215E167" w14:textId="6F51FBDC" w:rsidR="003353F9" w:rsidRDefault="005F294A" w:rsidP="005F294A">
      <w:r w:rsidRPr="00F9316A">
        <w:t xml:space="preserve">It is proposed that the revised </w:t>
      </w:r>
      <w:r w:rsidR="00704A32">
        <w:t>S</w:t>
      </w:r>
      <w:r w:rsidRPr="00F9316A">
        <w:t xml:space="preserve">tandards will </w:t>
      </w:r>
      <w:r w:rsidR="00050B20">
        <w:t>be structured around</w:t>
      </w:r>
      <w:r w:rsidRPr="00F9316A">
        <w:t xml:space="preserve"> a series of high-level quality outcome statements</w:t>
      </w:r>
      <w:r w:rsidR="003353F9">
        <w:t xml:space="preserve"> (similar to the structure used for the standards in the early childhood education and care, and aged care sectors)</w:t>
      </w:r>
      <w:r w:rsidRPr="00F9316A">
        <w:t xml:space="preserve">. </w:t>
      </w:r>
      <w:r w:rsidR="007A402A">
        <w:t>While a</w:t>
      </w:r>
      <w:r w:rsidR="006B4A5F">
        <w:t>n amount</w:t>
      </w:r>
      <w:r w:rsidR="007A402A">
        <w:t xml:space="preserve"> of prescription and process may still be required in the clauses to ensure clarity and </w:t>
      </w:r>
      <w:r w:rsidR="00AE2F66">
        <w:t xml:space="preserve">quality, the overarching Standards </w:t>
      </w:r>
      <w:r w:rsidRPr="00F9316A">
        <w:t>and underlying clause</w:t>
      </w:r>
      <w:r w:rsidR="00AE2F66">
        <w:t>s will</w:t>
      </w:r>
      <w:r w:rsidRPr="00F9316A">
        <w:t xml:space="preserve"> ha</w:t>
      </w:r>
      <w:r w:rsidR="00AE2F66">
        <w:t>ve</w:t>
      </w:r>
      <w:r w:rsidRPr="00F9316A">
        <w:t xml:space="preserve"> a robust link to </w:t>
      </w:r>
      <w:r>
        <w:t xml:space="preserve">learner </w:t>
      </w:r>
      <w:r w:rsidRPr="00F9316A">
        <w:t>outcomes</w:t>
      </w:r>
      <w:r w:rsidR="00050B20">
        <w:t>. This is in lin</w:t>
      </w:r>
      <w:r>
        <w:t xml:space="preserve">e with </w:t>
      </w:r>
      <w:r w:rsidR="003353F9">
        <w:t xml:space="preserve">previous sector </w:t>
      </w:r>
      <w:r>
        <w:t>feedback that ASQA’s student-centred audit approach and phases of the student experience helped to clarify the Standards and facilitate</w:t>
      </w:r>
      <w:r w:rsidR="00050B20">
        <w:t>d</w:t>
      </w:r>
      <w:r>
        <w:t xml:space="preserve"> understanding by more clearly linking them to student outcomes. </w:t>
      </w:r>
    </w:p>
    <w:p w14:paraId="5C7515B1" w14:textId="4B93A9A7" w:rsidR="005F294A" w:rsidRDefault="005F294A" w:rsidP="005F294A">
      <w:r w:rsidRPr="00F9316A">
        <w:t>This will</w:t>
      </w:r>
      <w:r>
        <w:t xml:space="preserve"> contribute to</w:t>
      </w:r>
      <w:r w:rsidRPr="00F9316A">
        <w:t xml:space="preserve"> foster</w:t>
      </w:r>
      <w:r>
        <w:t>ing the</w:t>
      </w:r>
      <w:r w:rsidRPr="00F9316A">
        <w:t xml:space="preserve"> shared sector understanding of what constitutes a high</w:t>
      </w:r>
      <w:r>
        <w:t>-</w:t>
      </w:r>
      <w:r w:rsidR="00050B20">
        <w:t xml:space="preserve">quality </w:t>
      </w:r>
      <w:r w:rsidR="00E214B7">
        <w:t>RTO</w:t>
      </w:r>
      <w:r w:rsidR="00050B20">
        <w:t xml:space="preserve"> and will</w:t>
      </w:r>
      <w:r w:rsidR="007A402A">
        <w:t xml:space="preserve"> help</w:t>
      </w:r>
      <w:r w:rsidR="00050B20">
        <w:t xml:space="preserve"> support</w:t>
      </w:r>
      <w:r w:rsidR="00E214B7">
        <w:t xml:space="preserve"> RTOs to better understand how the requirements relate to the delivery of quality training. </w:t>
      </w:r>
    </w:p>
    <w:p w14:paraId="12CE0903" w14:textId="77777777" w:rsidR="00F50AF5" w:rsidRDefault="00A71AEC" w:rsidP="00BB132D">
      <w:pPr>
        <w:pStyle w:val="Heading2"/>
      </w:pPr>
      <w:r w:rsidRPr="003353F9">
        <w:t>Raising the minimum level of quality</w:t>
      </w:r>
    </w:p>
    <w:p w14:paraId="053C662D" w14:textId="1978B2B9" w:rsidR="00A71AEC" w:rsidRDefault="00A71AEC" w:rsidP="00A71AEC">
      <w:r>
        <w:t xml:space="preserve">The revisions will consider specific areas where the minimum level of quality prescribed by the Standards could be lifted to enhance the substantive quality of training delivery and organisational practices, and how this could be achieved. A balance will need to be achieved to raise the benchmark of quality in a tangible and effective way without imposing inappropriate compliance burdens on training providers. </w:t>
      </w:r>
    </w:p>
    <w:p w14:paraId="20104699" w14:textId="6B86AA5C" w:rsidR="00C6630A" w:rsidRPr="00BC6585" w:rsidRDefault="000B5F9F" w:rsidP="00BB132D">
      <w:pPr>
        <w:pStyle w:val="Heading1"/>
        <w:rPr>
          <w:color w:val="002D3F" w:themeColor="accent1"/>
        </w:rPr>
      </w:pPr>
      <w:r w:rsidRPr="00BC6585">
        <w:rPr>
          <w:color w:val="002D3F" w:themeColor="accent1"/>
        </w:rPr>
        <w:t>S</w:t>
      </w:r>
      <w:r w:rsidR="00E214B7" w:rsidRPr="00BC6585">
        <w:rPr>
          <w:color w:val="002D3F" w:themeColor="accent1"/>
        </w:rPr>
        <w:t>upport</w:t>
      </w:r>
      <w:r w:rsidR="00C6630A" w:rsidRPr="00BC6585">
        <w:rPr>
          <w:color w:val="002D3F" w:themeColor="accent1"/>
        </w:rPr>
        <w:t>ing</w:t>
      </w:r>
      <w:r w:rsidR="00E214B7" w:rsidRPr="00BC6585">
        <w:rPr>
          <w:color w:val="002D3F" w:themeColor="accent1"/>
        </w:rPr>
        <w:t xml:space="preserve"> RTO excellence</w:t>
      </w:r>
    </w:p>
    <w:p w14:paraId="14CA673F" w14:textId="3F25BA3F" w:rsidR="00C6019D" w:rsidRDefault="00D63A8C" w:rsidP="00C6019D">
      <w:pPr>
        <w:spacing w:after="240"/>
      </w:pPr>
      <w:r>
        <w:t>Delivery</w:t>
      </w:r>
      <w:r w:rsidR="006E4AC5">
        <w:t xml:space="preserve"> of</w:t>
      </w:r>
      <w:r>
        <w:t xml:space="preserve"> </w:t>
      </w:r>
      <w:r w:rsidR="006E4AC5">
        <w:t>high-quality</w:t>
      </w:r>
      <w:r w:rsidR="00C6019D" w:rsidRPr="00DE2314">
        <w:t xml:space="preserve"> </w:t>
      </w:r>
      <w:r w:rsidR="00C6019D">
        <w:t xml:space="preserve">training </w:t>
      </w:r>
      <w:r w:rsidR="00C6019D" w:rsidRPr="00DE2314">
        <w:t xml:space="preserve">goes beyond compliance with the requirements of the </w:t>
      </w:r>
      <w:r w:rsidR="00C6019D" w:rsidRPr="007C16B0">
        <w:t>Standards</w:t>
      </w:r>
      <w:r w:rsidR="00C6019D">
        <w:t>.</w:t>
      </w:r>
      <w:r w:rsidR="00C6019D" w:rsidRPr="007C16B0">
        <w:rPr>
          <w:i/>
        </w:rPr>
        <w:t xml:space="preserve"> </w:t>
      </w:r>
      <w:r w:rsidR="00C6019D" w:rsidRPr="007C16B0">
        <w:t>While the Standards establish a minimum level of quality</w:t>
      </w:r>
      <w:r w:rsidR="00E1562F">
        <w:t xml:space="preserve"> that an RTO </w:t>
      </w:r>
      <w:r w:rsidR="00C6019D" w:rsidRPr="00DE2314">
        <w:t xml:space="preserve">must meet to operate within the national training system, it is important to recognise there are many </w:t>
      </w:r>
      <w:r w:rsidR="006E4AC5">
        <w:t xml:space="preserve">aspects </w:t>
      </w:r>
      <w:r w:rsidR="00C6019D">
        <w:t>of quality and many areas where it is possible to go above and beyond minimum requirements.</w:t>
      </w:r>
    </w:p>
    <w:p w14:paraId="313730C4" w14:textId="37502856" w:rsidR="00C6019D" w:rsidRDefault="00C6019D" w:rsidP="00C6019D">
      <w:r>
        <w:t xml:space="preserve">The ASQA rapid review found there is little consensus within the sector in relation to how quality, outcomes and excellence should be </w:t>
      </w:r>
      <w:r w:rsidR="00A07CFB">
        <w:t xml:space="preserve">identified and </w:t>
      </w:r>
      <w:r>
        <w:t xml:space="preserve">measured. As part of lifting quality and supporting providers to strive for excellence, it is critical to ensure there is a clear understanding within the sector as to what </w:t>
      </w:r>
      <w:r w:rsidR="00E1562F">
        <w:t xml:space="preserve">high </w:t>
      </w:r>
      <w:r>
        <w:t xml:space="preserve">quality is, </w:t>
      </w:r>
      <w:r w:rsidRPr="004379E7">
        <w:t xml:space="preserve">how it can be </w:t>
      </w:r>
      <w:r w:rsidR="00E1562F">
        <w:t>identified, and how it can be measured</w:t>
      </w:r>
      <w:r>
        <w:t xml:space="preserve">. </w:t>
      </w:r>
    </w:p>
    <w:p w14:paraId="6C5EB5EB" w14:textId="497E18C5" w:rsidR="00A07CFB" w:rsidRDefault="00C6019D" w:rsidP="00C6630A">
      <w:r>
        <w:t xml:space="preserve">The revised Standards will go some way toward achieving this by </w:t>
      </w:r>
      <w:r w:rsidR="00D63A8C">
        <w:t xml:space="preserve">improving the linkages to </w:t>
      </w:r>
      <w:r>
        <w:t>outcomes and supporting consistent understanding</w:t>
      </w:r>
      <w:r w:rsidR="002D0433">
        <w:t>,</w:t>
      </w:r>
      <w:r>
        <w:t xml:space="preserve"> and </w:t>
      </w:r>
      <w:r w:rsidR="002D0433">
        <w:t>application,</w:t>
      </w:r>
      <w:r>
        <w:t xml:space="preserve"> by training providers and regulators. </w:t>
      </w:r>
      <w:r w:rsidRPr="001B6F07">
        <w:t>However</w:t>
      </w:r>
      <w:r>
        <w:t>,</w:t>
      </w:r>
      <w:r w:rsidRPr="001B6F07">
        <w:t xml:space="preserve"> </w:t>
      </w:r>
      <w:r w:rsidRPr="0039325A">
        <w:t xml:space="preserve">there is an opportunity to </w:t>
      </w:r>
      <w:r w:rsidR="00F23DE8">
        <w:t xml:space="preserve">support </w:t>
      </w:r>
      <w:r w:rsidR="00D63A8C">
        <w:t xml:space="preserve">training </w:t>
      </w:r>
      <w:r w:rsidR="00F23DE8">
        <w:t>providers to go above and beyond by developing a framework to</w:t>
      </w:r>
      <w:r w:rsidR="00A07CFB">
        <w:t xml:space="preserve"> clearly</w:t>
      </w:r>
      <w:r w:rsidR="00F23DE8">
        <w:t xml:space="preserve"> identify what </w:t>
      </w:r>
      <w:r w:rsidR="00A07CFB">
        <w:t xml:space="preserve">constitutes </w:t>
      </w:r>
      <w:r w:rsidR="004379E7">
        <w:t>be</w:t>
      </w:r>
      <w:r w:rsidR="006B4A5F">
        <w:t>tter</w:t>
      </w:r>
      <w:r w:rsidR="004379E7">
        <w:t xml:space="preserve"> practice</w:t>
      </w:r>
      <w:r w:rsidR="00F23DE8">
        <w:t xml:space="preserve"> </w:t>
      </w:r>
      <w:r w:rsidR="00A07CFB">
        <w:t xml:space="preserve">in training delivery and to support providers to achieve </w:t>
      </w:r>
      <w:r w:rsidR="006B4A5F">
        <w:t>this</w:t>
      </w:r>
      <w:r w:rsidR="00A07CFB">
        <w:t xml:space="preserve">. </w:t>
      </w:r>
    </w:p>
    <w:p w14:paraId="263CB0CB" w14:textId="09296628" w:rsidR="00916A0B" w:rsidRPr="002F35CA" w:rsidRDefault="00A07CFB" w:rsidP="00C6630A">
      <w:pPr>
        <w:rPr>
          <w:color w:val="FF0000"/>
        </w:rPr>
      </w:pPr>
      <w:r>
        <w:t>To support providers</w:t>
      </w:r>
      <w:r w:rsidR="000E0951">
        <w:t>,</w:t>
      </w:r>
      <w:r>
        <w:t xml:space="preserve"> tools and resources will be developed to help build the capacity and capability of RTOs to meet these higher levels of quality. To do this it is </w:t>
      </w:r>
      <w:r w:rsidR="004379E7">
        <w:t xml:space="preserve">important to understand what other </w:t>
      </w:r>
      <w:r>
        <w:lastRenderedPageBreak/>
        <w:t xml:space="preserve">useful </w:t>
      </w:r>
      <w:r w:rsidR="004379E7">
        <w:t>supports can be developed to support providers to monitor their performance</w:t>
      </w:r>
      <w:r>
        <w:t>, identify gaps where they may wish to deliver at a higher standard, and then provide tailored and relevant support.</w:t>
      </w:r>
    </w:p>
    <w:p w14:paraId="01571944" w14:textId="77777777" w:rsidR="00610768" w:rsidRPr="00BC6585" w:rsidRDefault="00E214B7" w:rsidP="00BB132D">
      <w:pPr>
        <w:pStyle w:val="Heading1"/>
        <w:rPr>
          <w:color w:val="002D3F" w:themeColor="accent1"/>
        </w:rPr>
      </w:pPr>
      <w:r w:rsidRPr="00BC6585">
        <w:rPr>
          <w:color w:val="002D3F" w:themeColor="accent1"/>
        </w:rPr>
        <w:t>Other issues</w:t>
      </w:r>
    </w:p>
    <w:p w14:paraId="0570FE0E" w14:textId="77777777" w:rsidR="00610768" w:rsidRDefault="00610768" w:rsidP="00BB132D">
      <w:pPr>
        <w:pStyle w:val="Heading2"/>
      </w:pPr>
      <w:r>
        <w:t xml:space="preserve">Interaction with regulatory practices </w:t>
      </w:r>
    </w:p>
    <w:p w14:paraId="5ACF02FA" w14:textId="475E3C67" w:rsidR="00314365" w:rsidRDefault="00034D12" w:rsidP="00610768">
      <w:r>
        <w:t>The work being undertaken on the Standards and RTO quality is complementary to</w:t>
      </w:r>
      <w:r w:rsidR="006E4AC5">
        <w:t>,</w:t>
      </w:r>
      <w:r>
        <w:t xml:space="preserve"> and will build on</w:t>
      </w:r>
      <w:r w:rsidR="006E4AC5">
        <w:t>,</w:t>
      </w:r>
      <w:r>
        <w:t xml:space="preserve"> the reform work currently underway at ASQA. </w:t>
      </w:r>
      <w:r w:rsidR="007D1096">
        <w:t>Following the release</w:t>
      </w:r>
      <w:r>
        <w:t xml:space="preserve"> of</w:t>
      </w:r>
      <w:r w:rsidR="007D1096">
        <w:t xml:space="preserve"> the rapid review in April</w:t>
      </w:r>
      <w:r w:rsidR="002D0433">
        <w:t> </w:t>
      </w:r>
      <w:r w:rsidR="007D1096">
        <w:t xml:space="preserve">2020, ASQA </w:t>
      </w:r>
      <w:r>
        <w:t>has committed to reforming its regulatory approach and improv</w:t>
      </w:r>
      <w:r w:rsidR="006E4AC5">
        <w:t>ing</w:t>
      </w:r>
      <w:r>
        <w:t xml:space="preserve"> engagement with the sector.</w:t>
      </w:r>
      <w:r w:rsidR="00A35F76">
        <w:t xml:space="preserve"> </w:t>
      </w:r>
      <w:r w:rsidR="007D1096">
        <w:t>While</w:t>
      </w:r>
      <w:r w:rsidR="00314365">
        <w:t xml:space="preserve"> the Standards are </w:t>
      </w:r>
      <w:r>
        <w:t xml:space="preserve">one part of the VET Quality Framework through which RTOs are regulated, </w:t>
      </w:r>
      <w:r w:rsidR="00314365">
        <w:t xml:space="preserve">how they are regulated is an issue for VET regulators. Where possible, </w:t>
      </w:r>
      <w:r>
        <w:t>through this consultation process</w:t>
      </w:r>
      <w:r w:rsidR="00A35F76">
        <w:t>,</w:t>
      </w:r>
      <w:r>
        <w:t xml:space="preserve"> </w:t>
      </w:r>
      <w:r w:rsidR="00314365">
        <w:t xml:space="preserve">issues that stem from how ASQA regulates should be separated from issues that are related to </w:t>
      </w:r>
      <w:r>
        <w:t>the Standards.</w:t>
      </w:r>
    </w:p>
    <w:p w14:paraId="4BDBDA36" w14:textId="6CD87DA3" w:rsidR="00AE2F66" w:rsidRPr="00FB2D4B" w:rsidRDefault="00314365" w:rsidP="00AE2F66">
      <w:pPr>
        <w:spacing w:before="120" w:after="120"/>
      </w:pPr>
      <w:r>
        <w:t>ASQA</w:t>
      </w:r>
      <w:r w:rsidR="00034D12">
        <w:t xml:space="preserve"> is also </w:t>
      </w:r>
      <w:r w:rsidR="00A07CFB">
        <w:t xml:space="preserve">currently </w:t>
      </w:r>
      <w:r w:rsidR="00034D12">
        <w:t xml:space="preserve">working with the sector to </w:t>
      </w:r>
      <w:r>
        <w:t xml:space="preserve">build capacity through </w:t>
      </w:r>
      <w:r w:rsidR="00034D12">
        <w:t xml:space="preserve">a greater focus on </w:t>
      </w:r>
      <w:r w:rsidR="00A07CFB">
        <w:t>self-assurance</w:t>
      </w:r>
      <w:r w:rsidR="00610768">
        <w:t>.</w:t>
      </w:r>
      <w:r w:rsidR="00831EA7">
        <w:t xml:space="preserve"> </w:t>
      </w:r>
      <w:r w:rsidR="00046591">
        <w:rPr>
          <w:rFonts w:cs="Arial"/>
          <w:color w:val="000000" w:themeColor="text1"/>
        </w:rPr>
        <w:t xml:space="preserve">Self-assurance </w:t>
      </w:r>
      <w:r>
        <w:rPr>
          <w:rFonts w:cs="Arial"/>
          <w:color w:val="000000" w:themeColor="text1"/>
        </w:rPr>
        <w:t>includes</w:t>
      </w:r>
      <w:r w:rsidR="00046591">
        <w:rPr>
          <w:rFonts w:cs="Arial"/>
          <w:color w:val="000000" w:themeColor="text1"/>
        </w:rPr>
        <w:t xml:space="preserve"> providers having systems and processes in place to ensure quality outcomes for </w:t>
      </w:r>
      <w:r w:rsidR="00624169">
        <w:rPr>
          <w:rFonts w:cs="Arial"/>
          <w:color w:val="000000" w:themeColor="text1"/>
        </w:rPr>
        <w:t xml:space="preserve">learners </w:t>
      </w:r>
      <w:r w:rsidR="00046591">
        <w:rPr>
          <w:rFonts w:cs="Arial"/>
          <w:color w:val="000000" w:themeColor="text1"/>
        </w:rPr>
        <w:t xml:space="preserve">and compliance with the </w:t>
      </w:r>
      <w:r w:rsidR="00046591" w:rsidRPr="0039325A">
        <w:rPr>
          <w:rFonts w:cs="Arial"/>
          <w:color w:val="000000" w:themeColor="text1"/>
        </w:rPr>
        <w:t>Standards</w:t>
      </w:r>
      <w:r w:rsidR="00046591">
        <w:rPr>
          <w:rFonts w:cs="Arial"/>
          <w:color w:val="000000" w:themeColor="text1"/>
        </w:rPr>
        <w:t>.</w:t>
      </w:r>
      <w:r w:rsidR="00046591" w:rsidRPr="00046591">
        <w:t xml:space="preserve"> </w:t>
      </w:r>
      <w:r w:rsidR="00AE2F66">
        <w:t>Learners</w:t>
      </w:r>
      <w:r w:rsidR="00AE2F66" w:rsidRPr="00FB2D4B">
        <w:t>, industry, the community, governments</w:t>
      </w:r>
      <w:r w:rsidR="002D0433">
        <w:t>,</w:t>
      </w:r>
      <w:r w:rsidR="00AE2F66" w:rsidRPr="00FB2D4B">
        <w:t xml:space="preserve"> and ASQA expect providers to comply with their obligations and to have mechanisms to self-assure the quality of their </w:t>
      </w:r>
      <w:r w:rsidR="002D0433">
        <w:t>training delivery</w:t>
      </w:r>
      <w:r w:rsidR="00AE2F66" w:rsidRPr="00FB2D4B">
        <w:t xml:space="preserve">. </w:t>
      </w:r>
      <w:r w:rsidR="00AE2F66">
        <w:t>This is a core part of a provider’s good business practice and is central to maintaining and improving the quality of VET.</w:t>
      </w:r>
    </w:p>
    <w:p w14:paraId="52B21661" w14:textId="1FC1464A" w:rsidR="00610768" w:rsidRDefault="00A07CFB" w:rsidP="00610768">
      <w:r>
        <w:t xml:space="preserve">Any supports developed for providers to support the delivery of RTO excellence will be developed to be compatible with any </w:t>
      </w:r>
      <w:r w:rsidR="00034D12">
        <w:t xml:space="preserve">tools and </w:t>
      </w:r>
      <w:r>
        <w:t xml:space="preserve">resources developed by </w:t>
      </w:r>
      <w:r w:rsidR="00034D12">
        <w:t>ASQA</w:t>
      </w:r>
      <w:r>
        <w:t>.</w:t>
      </w:r>
      <w:r w:rsidR="00034D12">
        <w:t xml:space="preserve"> While ASQA is currently focused on ensuring providers use self-assurance to enable them to better meet the Standards and deliver quality training, </w:t>
      </w:r>
      <w:r w:rsidR="00AE2F66">
        <w:t>it is ASQA’s regulatory intent that these same systems promote organisational learning and continuous improvement of VET outcomes. T</w:t>
      </w:r>
      <w:r>
        <w:t>his paper is seeking feedback on w</w:t>
      </w:r>
      <w:r w:rsidR="00034D12">
        <w:t xml:space="preserve">hat </w:t>
      </w:r>
      <w:r>
        <w:t xml:space="preserve">other </w:t>
      </w:r>
      <w:r w:rsidR="00034D12">
        <w:t>support</w:t>
      </w:r>
      <w:r w:rsidR="000B2473">
        <w:t>s</w:t>
      </w:r>
      <w:r w:rsidR="00034D12">
        <w:t xml:space="preserve"> training providers need to go above and beyond and deliver excellence in training. </w:t>
      </w:r>
      <w:r w:rsidR="00610768">
        <w:t xml:space="preserve"> </w:t>
      </w:r>
    </w:p>
    <w:p w14:paraId="151174DC" w14:textId="6401C2BA" w:rsidR="00610768" w:rsidRDefault="00610768" w:rsidP="00BB132D">
      <w:pPr>
        <w:pStyle w:val="Heading2"/>
      </w:pPr>
      <w:r>
        <w:t xml:space="preserve">Interaction with training </w:t>
      </w:r>
      <w:r w:rsidR="00E214B7">
        <w:t>products</w:t>
      </w:r>
    </w:p>
    <w:p w14:paraId="3229B240" w14:textId="14CA3621" w:rsidR="0076102B" w:rsidRDefault="003353F9" w:rsidP="0039325A">
      <w:r>
        <w:t xml:space="preserve">The quality of training delivery cannot be fully </w:t>
      </w:r>
      <w:r w:rsidR="006B4A5F">
        <w:t>separated</w:t>
      </w:r>
      <w:r>
        <w:t xml:space="preserve"> from the quality of training products. </w:t>
      </w:r>
      <w:r w:rsidR="006E4AC5">
        <w:t>Previous f</w:t>
      </w:r>
      <w:r>
        <w:t xml:space="preserve">eedback from the sector has often </w:t>
      </w:r>
      <w:r w:rsidR="006E4AC5">
        <w:t xml:space="preserve">raised the issue of the </w:t>
      </w:r>
      <w:r>
        <w:t xml:space="preserve">design of training products </w:t>
      </w:r>
      <w:r w:rsidR="006E4AC5">
        <w:t xml:space="preserve">as </w:t>
      </w:r>
      <w:r>
        <w:t xml:space="preserve">an area which </w:t>
      </w:r>
      <w:r w:rsidR="006E4AC5">
        <w:t>can impact</w:t>
      </w:r>
      <w:r>
        <w:t xml:space="preserve"> the flexibility and quality of training delivery. </w:t>
      </w:r>
      <w:r w:rsidR="006E4AC5" w:rsidRPr="007066AE">
        <w:t>While t</w:t>
      </w:r>
      <w:r w:rsidR="002863A9" w:rsidRPr="007066AE">
        <w:t xml:space="preserve">he purpose of a national training system does require some standardisation of </w:t>
      </w:r>
      <w:r w:rsidR="00B20547" w:rsidRPr="007066AE">
        <w:t xml:space="preserve">training </w:t>
      </w:r>
      <w:r w:rsidR="00AE2F66" w:rsidRPr="007066AE">
        <w:t>outcome</w:t>
      </w:r>
      <w:r w:rsidR="00B20547" w:rsidRPr="007066AE">
        <w:t>s</w:t>
      </w:r>
      <w:r w:rsidR="002863A9" w:rsidRPr="007066AE">
        <w:t xml:space="preserve">, which aspects </w:t>
      </w:r>
      <w:r w:rsidR="00B20547" w:rsidRPr="007066AE">
        <w:t xml:space="preserve">of the training products </w:t>
      </w:r>
      <w:r w:rsidR="002863A9" w:rsidRPr="007066AE">
        <w:t>should be standardised, and where there is opportunity for great</w:t>
      </w:r>
      <w:r w:rsidR="00AE2F66" w:rsidRPr="007066AE">
        <w:t>er</w:t>
      </w:r>
      <w:r w:rsidR="002863A9" w:rsidRPr="007066AE">
        <w:t xml:space="preserve"> flexibility</w:t>
      </w:r>
      <w:r w:rsidR="00B20547" w:rsidRPr="007066AE">
        <w:t>,</w:t>
      </w:r>
      <w:r w:rsidR="002863A9" w:rsidRPr="007066AE">
        <w:t xml:space="preserve"> is being considered through a concurrent process looking at the reform of qualifications</w:t>
      </w:r>
      <w:r w:rsidR="006F3FF0">
        <w:t>.</w:t>
      </w:r>
      <w:r w:rsidR="002863A9">
        <w:t xml:space="preserve"> This work will consider qualification</w:t>
      </w:r>
      <w:r w:rsidR="0076102B">
        <w:t xml:space="preserve"> design elements</w:t>
      </w:r>
      <w:r w:rsidR="002863A9">
        <w:t xml:space="preserve"> based on</w:t>
      </w:r>
      <w:r w:rsidR="0076102B">
        <w:t>:</w:t>
      </w:r>
    </w:p>
    <w:p w14:paraId="4DAD0F9F" w14:textId="25BE27C9" w:rsidR="0076102B" w:rsidRDefault="00CC6E22" w:rsidP="00072045">
      <w:pPr>
        <w:pStyle w:val="ListParagraph"/>
        <w:numPr>
          <w:ilvl w:val="0"/>
          <w:numId w:val="26"/>
        </w:numPr>
      </w:pPr>
      <w:r>
        <w:t xml:space="preserve">appropriately grouped </w:t>
      </w:r>
      <w:r w:rsidR="002863A9">
        <w:t>occupation</w:t>
      </w:r>
      <w:r>
        <w:t xml:space="preserve"> and skills clusters to deliver broader vocational outcomes for students (including stronger recognition of cross</w:t>
      </w:r>
      <w:r w:rsidR="000B2473">
        <w:t>-</w:t>
      </w:r>
      <w:r>
        <w:t>sectoral and transferrable skills)</w:t>
      </w:r>
      <w:r w:rsidR="002863A9">
        <w:t xml:space="preserve">, </w:t>
      </w:r>
    </w:p>
    <w:p w14:paraId="5DDBA5CD" w14:textId="6F3D8257" w:rsidR="0076102B" w:rsidRDefault="00CC6E22" w:rsidP="00072045">
      <w:pPr>
        <w:pStyle w:val="ListParagraph"/>
        <w:numPr>
          <w:ilvl w:val="0"/>
          <w:numId w:val="26"/>
        </w:numPr>
      </w:pPr>
      <w:r>
        <w:t xml:space="preserve">simplifying and removing complexity </w:t>
      </w:r>
      <w:r w:rsidR="002863A9">
        <w:t>across qualifications and units of competency</w:t>
      </w:r>
      <w:r>
        <w:t xml:space="preserve"> and mak</w:t>
      </w:r>
      <w:r w:rsidR="0076102B">
        <w:t>ing</w:t>
      </w:r>
      <w:r>
        <w:t xml:space="preserve"> better use of industry and </w:t>
      </w:r>
      <w:r w:rsidRPr="006B4A5F">
        <w:t>educational</w:t>
      </w:r>
      <w:r>
        <w:t xml:space="preserve"> expertise</w:t>
      </w:r>
      <w:r w:rsidR="002863A9">
        <w:t xml:space="preserve">, and </w:t>
      </w:r>
    </w:p>
    <w:p w14:paraId="6A1A577D" w14:textId="2EB9054D" w:rsidR="0076102B" w:rsidRDefault="00CC6E22" w:rsidP="00072045">
      <w:pPr>
        <w:pStyle w:val="ListParagraph"/>
        <w:numPr>
          <w:ilvl w:val="0"/>
          <w:numId w:val="26"/>
        </w:numPr>
      </w:pPr>
      <w:r>
        <w:lastRenderedPageBreak/>
        <w:t>greater training product flexibility and enhanced responsiveness to changing industry need</w:t>
      </w:r>
      <w:r w:rsidR="00760930">
        <w:t>s</w:t>
      </w:r>
      <w:r>
        <w:t xml:space="preserve"> through shorter courses with improved pathways advice to employment and further education opportunities. </w:t>
      </w:r>
    </w:p>
    <w:p w14:paraId="59BCEBCB" w14:textId="4B45A69B" w:rsidR="002863A9" w:rsidRDefault="002863A9" w:rsidP="0076102B">
      <w:r>
        <w:t>Further information on this process can be found</w:t>
      </w:r>
      <w:r w:rsidR="006A1979">
        <w:t xml:space="preserve"> at </w:t>
      </w:r>
      <w:hyperlink r:id="rId13" w:history="1">
        <w:r w:rsidR="006A1979" w:rsidRPr="000D78A4">
          <w:rPr>
            <w:rStyle w:val="Hyperlink"/>
          </w:rPr>
          <w:t>www.skillreform.gov.au</w:t>
        </w:r>
      </w:hyperlink>
      <w:r w:rsidR="006A1979">
        <w:t xml:space="preserve"> </w:t>
      </w:r>
      <w:r>
        <w:t xml:space="preserve">including opportunities to have your say on issues that affect you </w:t>
      </w:r>
      <w:r w:rsidR="0057292D">
        <w:t>regarding</w:t>
      </w:r>
      <w:r>
        <w:t xml:space="preserve"> the design and development of training products. </w:t>
      </w:r>
    </w:p>
    <w:p w14:paraId="3FAEBCB6" w14:textId="38FD1F58" w:rsidR="001D2672" w:rsidRPr="00F51C18" w:rsidRDefault="001D2672" w:rsidP="00BB132D">
      <w:pPr>
        <w:pStyle w:val="Heading2"/>
      </w:pPr>
      <w:r>
        <w:t xml:space="preserve">Your </w:t>
      </w:r>
      <w:r w:rsidR="00FE7B31">
        <w:t>f</w:t>
      </w:r>
      <w:r>
        <w:t>eedback</w:t>
      </w:r>
      <w:r w:rsidR="004E2B07">
        <w:t xml:space="preserve"> </w:t>
      </w:r>
    </w:p>
    <w:p w14:paraId="1BE27EF0" w14:textId="78497E37" w:rsidR="00751FB4" w:rsidRDefault="00413FCD" w:rsidP="00751FB4">
      <w:r>
        <w:t xml:space="preserve">We value the feedback of all </w:t>
      </w:r>
      <w:r w:rsidR="00751FB4">
        <w:t>those who are activate participants in, or engage with,</w:t>
      </w:r>
      <w:r>
        <w:t xml:space="preserve"> the VET sector on </w:t>
      </w:r>
      <w:r w:rsidR="00D70C0B" w:rsidRPr="00610768">
        <w:t xml:space="preserve">the issues outlined in </w:t>
      </w:r>
      <w:r w:rsidR="00BF3D29" w:rsidRPr="00610768">
        <w:t>this paper</w:t>
      </w:r>
      <w:r w:rsidR="00DA608A">
        <w:t xml:space="preserve"> as well as </w:t>
      </w:r>
      <w:r w:rsidR="002863A9">
        <w:t>broader issues around ensuring quality in training delivery</w:t>
      </w:r>
      <w:r w:rsidR="00751FB4">
        <w:t xml:space="preserve">. </w:t>
      </w:r>
      <w:r w:rsidR="00397A6E">
        <w:t>A number of s</w:t>
      </w:r>
      <w:r w:rsidR="00751FB4">
        <w:t xml:space="preserve">urveys have been designed to capture your </w:t>
      </w:r>
      <w:r w:rsidR="00397A6E">
        <w:t>feedback</w:t>
      </w:r>
      <w:r w:rsidR="00751FB4">
        <w:t xml:space="preserve"> to a series of questions. A list of </w:t>
      </w:r>
      <w:r w:rsidR="00DA608A">
        <w:t>currently open</w:t>
      </w:r>
      <w:r w:rsidR="00751FB4">
        <w:t xml:space="preserve"> surveys can be found </w:t>
      </w:r>
      <w:r w:rsidR="006A1979">
        <w:t xml:space="preserve">at </w:t>
      </w:r>
      <w:hyperlink r:id="rId14" w:history="1">
        <w:r w:rsidR="006A1979" w:rsidRPr="000D78A4">
          <w:rPr>
            <w:rStyle w:val="Hyperlink"/>
          </w:rPr>
          <w:t>www.skillsreform.gov.au/quality</w:t>
        </w:r>
      </w:hyperlink>
      <w:r w:rsidR="00AE2F66" w:rsidRPr="006A1979">
        <w:t>.</w:t>
      </w:r>
      <w:r w:rsidR="00751FB4">
        <w:t xml:space="preserve"> These will be updated as additional surveys are added. </w:t>
      </w:r>
    </w:p>
    <w:p w14:paraId="5CBDE1A9" w14:textId="77777777" w:rsidR="001D2672" w:rsidRPr="00BC6585" w:rsidRDefault="001D2672" w:rsidP="00BB132D">
      <w:pPr>
        <w:pStyle w:val="Heading1"/>
        <w:rPr>
          <w:color w:val="002D3F" w:themeColor="accent1"/>
        </w:rPr>
      </w:pPr>
      <w:r w:rsidRPr="00BC6585">
        <w:rPr>
          <w:color w:val="002D3F" w:themeColor="accent1"/>
        </w:rPr>
        <w:t xml:space="preserve">Questions for consideration </w:t>
      </w:r>
    </w:p>
    <w:p w14:paraId="7B86F2FF" w14:textId="514D210B" w:rsidR="008C373C" w:rsidRDefault="008C373C" w:rsidP="008C373C">
      <w:r>
        <w:t xml:space="preserve">The following </w:t>
      </w:r>
      <w:r w:rsidR="001420F5">
        <w:t xml:space="preserve">discussion </w:t>
      </w:r>
      <w:r>
        <w:t xml:space="preserve">questions </w:t>
      </w:r>
      <w:r w:rsidR="000C7DA1">
        <w:t xml:space="preserve">are </w:t>
      </w:r>
      <w:r w:rsidR="00AF1D8C">
        <w:t xml:space="preserve">provided </w:t>
      </w:r>
      <w:r w:rsidR="00AE2F66">
        <w:t xml:space="preserve">as prompts </w:t>
      </w:r>
      <w:r w:rsidR="000C7DA1">
        <w:t xml:space="preserve">to </w:t>
      </w:r>
      <w:r>
        <w:t xml:space="preserve">assist your thinking </w:t>
      </w:r>
      <w:r w:rsidR="001420F5">
        <w:t xml:space="preserve">prior to survey completion. </w:t>
      </w:r>
    </w:p>
    <w:p w14:paraId="0D0C20A2" w14:textId="3487F944" w:rsidR="00EF31D4" w:rsidRDefault="00EF31D4" w:rsidP="00072045">
      <w:pPr>
        <w:pStyle w:val="ListParagraph"/>
        <w:numPr>
          <w:ilvl w:val="0"/>
          <w:numId w:val="27"/>
        </w:numPr>
      </w:pPr>
      <w:r>
        <w:t xml:space="preserve">What is your experience of </w:t>
      </w:r>
      <w:r w:rsidR="00AF1D8C">
        <w:t>high-quality</w:t>
      </w:r>
      <w:r>
        <w:t xml:space="preserve"> training</w:t>
      </w:r>
      <w:r w:rsidR="00760930">
        <w:t xml:space="preserve"> –</w:t>
      </w:r>
      <w:r>
        <w:t xml:space="preserve"> what</w:t>
      </w:r>
      <w:r w:rsidR="00760930">
        <w:t xml:space="preserve"> </w:t>
      </w:r>
      <w:r>
        <w:t xml:space="preserve">made it high quality? </w:t>
      </w:r>
    </w:p>
    <w:p w14:paraId="1F62AA26" w14:textId="460F8F1E" w:rsidR="00EF31D4" w:rsidRDefault="00EF31D4" w:rsidP="00072045">
      <w:pPr>
        <w:pStyle w:val="ListParagraph"/>
        <w:numPr>
          <w:ilvl w:val="0"/>
          <w:numId w:val="27"/>
        </w:numPr>
      </w:pPr>
      <w:r>
        <w:t xml:space="preserve">What is your experience of </w:t>
      </w:r>
      <w:r w:rsidR="006A1979">
        <w:t>poor-quality</w:t>
      </w:r>
      <w:r>
        <w:t xml:space="preserve"> training</w:t>
      </w:r>
      <w:r w:rsidR="00760930">
        <w:t xml:space="preserve"> –</w:t>
      </w:r>
      <w:r>
        <w:t xml:space="preserve"> what</w:t>
      </w:r>
      <w:r w:rsidR="00760930">
        <w:t xml:space="preserve"> </w:t>
      </w:r>
      <w:r>
        <w:t>made it poor quality?</w:t>
      </w:r>
    </w:p>
    <w:p w14:paraId="7B1FDF4C" w14:textId="16F7B119" w:rsidR="00EF31D4" w:rsidRDefault="00EF31D4" w:rsidP="00072045">
      <w:pPr>
        <w:pStyle w:val="ListParagraph"/>
        <w:numPr>
          <w:ilvl w:val="0"/>
          <w:numId w:val="27"/>
        </w:numPr>
      </w:pPr>
      <w:r>
        <w:t>What limitations do you face as an RTO that is trying to deliver high quality training?</w:t>
      </w:r>
    </w:p>
    <w:p w14:paraId="1039C8BD" w14:textId="3407656E" w:rsidR="00AE2F66" w:rsidRDefault="00AE2F66" w:rsidP="00072045">
      <w:pPr>
        <w:pStyle w:val="ListParagraph"/>
        <w:numPr>
          <w:ilvl w:val="0"/>
          <w:numId w:val="27"/>
        </w:numPr>
      </w:pPr>
      <w:r>
        <w:t>How effective are the Standards</w:t>
      </w:r>
      <w:r w:rsidR="006E4AC5">
        <w:t xml:space="preserve"> for RTOs 2015</w:t>
      </w:r>
      <w:r>
        <w:t>?</w:t>
      </w:r>
    </w:p>
    <w:p w14:paraId="426B143D" w14:textId="7313E078" w:rsidR="00AE2F66" w:rsidRDefault="001420F5" w:rsidP="00072045">
      <w:pPr>
        <w:pStyle w:val="ListParagraph"/>
        <w:numPr>
          <w:ilvl w:val="1"/>
          <w:numId w:val="28"/>
        </w:numPr>
      </w:pPr>
      <w:r>
        <w:t>What are the stre</w:t>
      </w:r>
      <w:r w:rsidR="00EF31D4">
        <w:t xml:space="preserve">ngths of the Standards? </w:t>
      </w:r>
    </w:p>
    <w:p w14:paraId="48C40655" w14:textId="26450F5C" w:rsidR="00AF1D8C" w:rsidRDefault="00EF31D4" w:rsidP="00072045">
      <w:pPr>
        <w:pStyle w:val="ListParagraph"/>
        <w:numPr>
          <w:ilvl w:val="1"/>
          <w:numId w:val="28"/>
        </w:numPr>
      </w:pPr>
      <w:r>
        <w:t xml:space="preserve">What are the </w:t>
      </w:r>
      <w:r w:rsidR="000C7DA1">
        <w:t xml:space="preserve">weaknesses and </w:t>
      </w:r>
      <w:r>
        <w:t>gaps?</w:t>
      </w:r>
      <w:r w:rsidR="00AF1D8C">
        <w:t xml:space="preserve"> </w:t>
      </w:r>
    </w:p>
    <w:p w14:paraId="0826365F" w14:textId="2B953074" w:rsidR="008C373C" w:rsidRDefault="00624169" w:rsidP="00072045">
      <w:pPr>
        <w:pStyle w:val="ListParagraph"/>
        <w:numPr>
          <w:ilvl w:val="1"/>
          <w:numId w:val="28"/>
        </w:numPr>
      </w:pPr>
      <w:r>
        <w:t>Are</w:t>
      </w:r>
      <w:r w:rsidR="00AF1D8C">
        <w:t xml:space="preserve"> the</w:t>
      </w:r>
      <w:r>
        <w:t>y</w:t>
      </w:r>
      <w:r w:rsidR="00AF1D8C">
        <w:t xml:space="preserve"> effective in promoting quality?</w:t>
      </w:r>
      <w:r>
        <w:t xml:space="preserve"> In which areas?</w:t>
      </w:r>
    </w:p>
    <w:p w14:paraId="3D009CC0" w14:textId="00EE5A26" w:rsidR="00BC5801" w:rsidRDefault="00624169" w:rsidP="00072045">
      <w:pPr>
        <w:pStyle w:val="ListParagraph"/>
        <w:numPr>
          <w:ilvl w:val="1"/>
          <w:numId w:val="28"/>
        </w:numPr>
      </w:pPr>
      <w:r>
        <w:t xml:space="preserve">Should the </w:t>
      </w:r>
      <w:r w:rsidR="00BC5801">
        <w:t>minimum standard be higher</w:t>
      </w:r>
      <w:r w:rsidR="00760930">
        <w:t>? If so</w:t>
      </w:r>
      <w:r w:rsidR="005F0DD2">
        <w:t xml:space="preserve">, </w:t>
      </w:r>
      <w:r>
        <w:t xml:space="preserve">in which areas </w:t>
      </w:r>
      <w:r w:rsidR="005F0DD2">
        <w:t>and how c</w:t>
      </w:r>
      <w:r>
        <w:t>ould</w:t>
      </w:r>
      <w:r w:rsidR="005F0DD2">
        <w:t xml:space="preserve"> this be achieved</w:t>
      </w:r>
      <w:r w:rsidR="00BC5801">
        <w:t>?</w:t>
      </w:r>
    </w:p>
    <w:p w14:paraId="610A4DFA" w14:textId="06AAE02F" w:rsidR="001D2672" w:rsidRDefault="00BC5801" w:rsidP="00072045">
      <w:pPr>
        <w:pStyle w:val="ListParagraph"/>
        <w:numPr>
          <w:ilvl w:val="1"/>
          <w:numId w:val="28"/>
        </w:numPr>
      </w:pPr>
      <w:r>
        <w:t xml:space="preserve">In what ways could specific clauses </w:t>
      </w:r>
      <w:r w:rsidR="000C7DA1">
        <w:t xml:space="preserve">in the Standards </w:t>
      </w:r>
      <w:r w:rsidR="001D2672">
        <w:t>be improved?</w:t>
      </w:r>
      <w:r w:rsidR="00EF31D4">
        <w:t xml:space="preserve"> Can you provide examples?</w:t>
      </w:r>
    </w:p>
    <w:p w14:paraId="635E617C" w14:textId="77777777" w:rsidR="00F97FE9" w:rsidRDefault="00F97FE9" w:rsidP="00F97FE9"/>
    <w:sectPr w:rsidR="00F97FE9" w:rsidSect="00BB132D">
      <w:footerReference w:type="default" r:id="rId15"/>
      <w:headerReference w:type="first" r:id="rId16"/>
      <w:footerReference w:type="first" r:id="rId17"/>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71E64" w14:textId="77777777" w:rsidR="00227ACD" w:rsidRDefault="00227ACD" w:rsidP="0051352E">
      <w:pPr>
        <w:spacing w:after="0" w:line="240" w:lineRule="auto"/>
      </w:pPr>
      <w:r>
        <w:separator/>
      </w:r>
    </w:p>
  </w:endnote>
  <w:endnote w:type="continuationSeparator" w:id="0">
    <w:p w14:paraId="4B18BCEE" w14:textId="77777777" w:rsidR="00227ACD" w:rsidRDefault="00227ACD" w:rsidP="0051352E">
      <w:pPr>
        <w:spacing w:after="0" w:line="240" w:lineRule="auto"/>
      </w:pPr>
      <w:r>
        <w:continuationSeparator/>
      </w:r>
    </w:p>
  </w:endnote>
  <w:endnote w:type="continuationNotice" w:id="1">
    <w:p w14:paraId="2B00FD3C" w14:textId="77777777" w:rsidR="00227ACD" w:rsidRDefault="00227A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616761"/>
      <w:docPartObj>
        <w:docPartGallery w:val="Page Numbers (Bottom of Page)"/>
        <w:docPartUnique/>
      </w:docPartObj>
    </w:sdtPr>
    <w:sdtEndPr>
      <w:rPr>
        <w:noProof/>
      </w:rPr>
    </w:sdtEndPr>
    <w:sdtContent>
      <w:p w14:paraId="7FA64365" w14:textId="77777777" w:rsidR="00BB132D" w:rsidRDefault="00BB132D">
        <w:pPr>
          <w:pStyle w:val="Footer"/>
          <w:jc w:val="right"/>
          <w:rPr>
            <w:noProo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4"/>
        </w:tblGrid>
        <w:tr w:rsidR="00BB132D" w14:paraId="13BEAB8D" w14:textId="77777777" w:rsidTr="002976E0">
          <w:tc>
            <w:tcPr>
              <w:tcW w:w="4508" w:type="dxa"/>
            </w:tcPr>
            <w:p w14:paraId="28747EB1" w14:textId="77777777" w:rsidR="00BB132D" w:rsidRPr="00BC6585" w:rsidRDefault="00BB132D" w:rsidP="00BB132D">
              <w:pPr>
                <w:pStyle w:val="Footer"/>
                <w:rPr>
                  <w:b/>
                  <w:bCs/>
                  <w:color w:val="002D3F" w:themeColor="accent1"/>
                </w:rPr>
              </w:pPr>
              <w:r w:rsidRPr="00BC6585">
                <w:rPr>
                  <w:b/>
                  <w:bCs/>
                  <w:color w:val="002D3F" w:themeColor="accent1"/>
                </w:rPr>
                <w:t xml:space="preserve">www.skillsreform.gov.au </w:t>
              </w:r>
            </w:p>
          </w:tc>
          <w:tc>
            <w:tcPr>
              <w:tcW w:w="4564" w:type="dxa"/>
            </w:tcPr>
            <w:p w14:paraId="182D0FAA" w14:textId="77777777" w:rsidR="00BB132D" w:rsidRDefault="00BB132D" w:rsidP="00BB132D">
              <w:pPr>
                <w:pStyle w:val="Footer"/>
                <w:jc w:val="right"/>
              </w:pPr>
              <w:r>
                <w:t xml:space="preserve">Page | </w:t>
              </w:r>
              <w:r>
                <w:fldChar w:fldCharType="begin"/>
              </w:r>
              <w:r>
                <w:instrText xml:space="preserve"> PAGE   \* MERGEFORMAT </w:instrText>
              </w:r>
              <w:r>
                <w:fldChar w:fldCharType="separate"/>
              </w:r>
              <w:r>
                <w:t>1</w:t>
              </w:r>
              <w:r>
                <w:rPr>
                  <w:noProof/>
                </w:rPr>
                <w:fldChar w:fldCharType="end"/>
              </w:r>
            </w:p>
          </w:tc>
        </w:tr>
      </w:tbl>
      <w:p w14:paraId="07581E6A" w14:textId="1DF94A5B" w:rsidR="005F294A" w:rsidRDefault="002F5BF6" w:rsidP="00BB132D">
        <w:pPr>
          <w:pStyle w:val="Footer"/>
        </w:pPr>
      </w:p>
    </w:sdtContent>
  </w:sdt>
  <w:p w14:paraId="5A938041" w14:textId="77777777" w:rsidR="005F294A" w:rsidRDefault="005F2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64"/>
    </w:tblGrid>
    <w:tr w:rsidR="00BB132D" w14:paraId="5D8B5A56" w14:textId="77777777" w:rsidTr="002976E0">
      <w:tc>
        <w:tcPr>
          <w:tcW w:w="4508" w:type="dxa"/>
        </w:tcPr>
        <w:p w14:paraId="6312549D" w14:textId="77777777" w:rsidR="00BB132D" w:rsidRPr="00BC6585" w:rsidRDefault="00BB132D" w:rsidP="00BB132D">
          <w:pPr>
            <w:pStyle w:val="Footer"/>
            <w:rPr>
              <w:b/>
              <w:bCs/>
              <w:color w:val="002D3F" w:themeColor="accent1"/>
            </w:rPr>
          </w:pPr>
          <w:r w:rsidRPr="00BC6585">
            <w:rPr>
              <w:b/>
              <w:bCs/>
              <w:color w:val="002D3F" w:themeColor="accent1"/>
            </w:rPr>
            <w:t xml:space="preserve">www.skillsreform.gov.au </w:t>
          </w:r>
        </w:p>
      </w:tc>
      <w:tc>
        <w:tcPr>
          <w:tcW w:w="4564" w:type="dxa"/>
        </w:tcPr>
        <w:p w14:paraId="5144F582" w14:textId="77777777" w:rsidR="00BB132D" w:rsidRDefault="00BB132D" w:rsidP="00BB132D">
          <w:pPr>
            <w:pStyle w:val="Footer"/>
            <w:jc w:val="right"/>
          </w:pPr>
          <w:r>
            <w:t xml:space="preserve">Page | </w:t>
          </w:r>
          <w:r>
            <w:fldChar w:fldCharType="begin"/>
          </w:r>
          <w:r>
            <w:instrText xml:space="preserve"> PAGE   \* MERGEFORMAT </w:instrText>
          </w:r>
          <w:r>
            <w:fldChar w:fldCharType="separate"/>
          </w:r>
          <w:r>
            <w:t>1</w:t>
          </w:r>
          <w:r>
            <w:rPr>
              <w:noProof/>
            </w:rPr>
            <w:fldChar w:fldCharType="end"/>
          </w:r>
        </w:p>
      </w:tc>
    </w:tr>
  </w:tbl>
  <w:p w14:paraId="299B2B09" w14:textId="77777777" w:rsidR="00BB132D" w:rsidRDefault="00BB1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71C3C" w14:textId="77777777" w:rsidR="00227ACD" w:rsidRDefault="00227ACD" w:rsidP="0051352E">
      <w:pPr>
        <w:spacing w:after="0" w:line="240" w:lineRule="auto"/>
      </w:pPr>
      <w:r>
        <w:separator/>
      </w:r>
    </w:p>
  </w:footnote>
  <w:footnote w:type="continuationSeparator" w:id="0">
    <w:p w14:paraId="1879603C" w14:textId="77777777" w:rsidR="00227ACD" w:rsidRDefault="00227ACD" w:rsidP="0051352E">
      <w:pPr>
        <w:spacing w:after="0" w:line="240" w:lineRule="auto"/>
      </w:pPr>
      <w:r>
        <w:continuationSeparator/>
      </w:r>
    </w:p>
  </w:footnote>
  <w:footnote w:type="continuationNotice" w:id="1">
    <w:p w14:paraId="20C39591" w14:textId="77777777" w:rsidR="00227ACD" w:rsidRDefault="00227A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64C9F" w14:textId="49382FEF" w:rsidR="00BB132D" w:rsidRDefault="00BB132D">
    <w:pPr>
      <w:pStyle w:val="Header"/>
    </w:pPr>
  </w:p>
  <w:p w14:paraId="0B93BE0B" w14:textId="77777777" w:rsidR="00BB132D" w:rsidRDefault="00BB132D">
    <w:pPr>
      <w:pStyle w:val="Header"/>
    </w:pPr>
  </w:p>
  <w:p w14:paraId="2B8ABC99" w14:textId="047209E9" w:rsidR="00BB132D" w:rsidRDefault="00BB132D">
    <w:pPr>
      <w:pStyle w:val="Header"/>
    </w:pPr>
  </w:p>
  <w:p w14:paraId="25F2D855" w14:textId="7062008E" w:rsidR="00BB132D" w:rsidRDefault="00BB132D">
    <w:pPr>
      <w:pStyle w:val="Header"/>
    </w:pPr>
  </w:p>
  <w:p w14:paraId="7ABC32F4" w14:textId="20FBC616" w:rsidR="00BB132D" w:rsidRDefault="00BB132D">
    <w:pPr>
      <w:pStyle w:val="Header"/>
    </w:pPr>
  </w:p>
  <w:p w14:paraId="75EAEED0" w14:textId="50D8A3F0" w:rsidR="00BB132D" w:rsidRDefault="00BB132D">
    <w:pPr>
      <w:pStyle w:val="Header"/>
    </w:pPr>
  </w:p>
  <w:p w14:paraId="22160A20" w14:textId="428F4298" w:rsidR="00BB132D" w:rsidRDefault="00BB132D">
    <w:pPr>
      <w:pStyle w:val="Header"/>
    </w:pPr>
  </w:p>
  <w:p w14:paraId="0CFA9A50" w14:textId="04FEA16B" w:rsidR="00BB132D" w:rsidRDefault="00BB132D">
    <w:pPr>
      <w:pStyle w:val="Header"/>
    </w:pPr>
  </w:p>
  <w:p w14:paraId="4243DB2B" w14:textId="77777777" w:rsidR="00BB132D" w:rsidRDefault="00BB1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805572"/>
    <w:lvl w:ilvl="0">
      <w:start w:val="1"/>
      <w:numFmt w:val="decimal"/>
      <w:lvlText w:val="%1."/>
      <w:lvlJc w:val="left"/>
      <w:pPr>
        <w:tabs>
          <w:tab w:val="num" w:pos="1226"/>
        </w:tabs>
        <w:ind w:left="1226"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73BBF"/>
    <w:multiLevelType w:val="hybridMultilevel"/>
    <w:tmpl w:val="AADC420A"/>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1" w15:restartNumberingAfterBreak="0">
    <w:nsid w:val="0F5B5748"/>
    <w:multiLevelType w:val="hybridMultilevel"/>
    <w:tmpl w:val="4AD2E9BC"/>
    <w:lvl w:ilvl="0" w:tplc="7D64D934">
      <w:start w:val="1"/>
      <w:numFmt w:val="bullet"/>
      <w:lvlText w:val=""/>
      <w:lvlJc w:val="left"/>
      <w:pPr>
        <w:ind w:left="340" w:hanging="227"/>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2"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802C04"/>
    <w:multiLevelType w:val="hybridMultilevel"/>
    <w:tmpl w:val="B0F06282"/>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 w15:restartNumberingAfterBreak="0">
    <w:nsid w:val="2ADA1655"/>
    <w:multiLevelType w:val="hybridMultilevel"/>
    <w:tmpl w:val="EC344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8AF61CF"/>
    <w:multiLevelType w:val="hybridMultilevel"/>
    <w:tmpl w:val="38FEDEE4"/>
    <w:lvl w:ilvl="0" w:tplc="CC822F28">
      <w:start w:val="1"/>
      <w:numFmt w:val="bullet"/>
      <w:lvlText w:val=""/>
      <w:lvlJc w:val="left"/>
      <w:pPr>
        <w:ind w:left="766" w:hanging="360"/>
      </w:pPr>
      <w:rPr>
        <w:rFonts w:ascii="Wingdings" w:hAnsi="Wingdings" w:hint="default"/>
        <w:color w:val="6EC6AA" w:themeColor="accent2"/>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8" w15:restartNumberingAfterBreak="0">
    <w:nsid w:val="3A1F6D31"/>
    <w:multiLevelType w:val="hybridMultilevel"/>
    <w:tmpl w:val="69F203D2"/>
    <w:lvl w:ilvl="0" w:tplc="CC822F28">
      <w:start w:val="1"/>
      <w:numFmt w:val="bullet"/>
      <w:lvlText w:val=""/>
      <w:lvlJc w:val="left"/>
      <w:pPr>
        <w:ind w:left="720" w:hanging="360"/>
      </w:pPr>
      <w:rPr>
        <w:rFonts w:ascii="Wingdings" w:hAnsi="Wingdings" w:hint="default"/>
        <w:color w:val="6EC6AA" w:themeColor="accen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EA1B22"/>
    <w:multiLevelType w:val="hybridMultilevel"/>
    <w:tmpl w:val="1B6C81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3DB912F0"/>
    <w:multiLevelType w:val="hybridMultilevel"/>
    <w:tmpl w:val="6BAAE05A"/>
    <w:lvl w:ilvl="0" w:tplc="CC822F28">
      <w:start w:val="1"/>
      <w:numFmt w:val="bullet"/>
      <w:lvlText w:val=""/>
      <w:lvlJc w:val="left"/>
      <w:pPr>
        <w:ind w:left="766" w:hanging="360"/>
      </w:pPr>
      <w:rPr>
        <w:rFonts w:ascii="Wingdings" w:hAnsi="Wingdings" w:hint="default"/>
        <w:color w:val="6EC6AA" w:themeColor="accent2"/>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21" w15:restartNumberingAfterBreak="0">
    <w:nsid w:val="3E186176"/>
    <w:multiLevelType w:val="hybridMultilevel"/>
    <w:tmpl w:val="52B8C0F6"/>
    <w:lvl w:ilvl="0" w:tplc="CC822F28">
      <w:start w:val="1"/>
      <w:numFmt w:val="bullet"/>
      <w:lvlText w:val=""/>
      <w:lvlJc w:val="left"/>
      <w:pPr>
        <w:ind w:left="340" w:hanging="227"/>
      </w:pPr>
      <w:rPr>
        <w:rFonts w:ascii="Wingdings" w:hAnsi="Wingdings" w:hint="default"/>
        <w:color w:val="6EC6AA" w:themeColor="accent2"/>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2" w15:restartNumberingAfterBreak="0">
    <w:nsid w:val="4B7C0911"/>
    <w:multiLevelType w:val="hybridMultilevel"/>
    <w:tmpl w:val="DF32FDC8"/>
    <w:lvl w:ilvl="0" w:tplc="CC822F28">
      <w:start w:val="1"/>
      <w:numFmt w:val="bullet"/>
      <w:lvlText w:val=""/>
      <w:lvlJc w:val="left"/>
      <w:pPr>
        <w:ind w:left="720" w:hanging="360"/>
      </w:pPr>
      <w:rPr>
        <w:rFonts w:ascii="Wingdings" w:hAnsi="Wingdings" w:hint="default"/>
        <w:color w:val="6EC6AA" w:themeColor="accent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4D76F4"/>
    <w:multiLevelType w:val="hybridMultilevel"/>
    <w:tmpl w:val="A2F2C0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BE682F"/>
    <w:multiLevelType w:val="hybridMultilevel"/>
    <w:tmpl w:val="24E01294"/>
    <w:lvl w:ilvl="0" w:tplc="0C090001">
      <w:start w:val="1"/>
      <w:numFmt w:val="bullet"/>
      <w:lvlText w:val=""/>
      <w:lvlJc w:val="left"/>
      <w:pPr>
        <w:ind w:left="720" w:hanging="360"/>
      </w:pPr>
      <w:rPr>
        <w:rFonts w:ascii="Symbol" w:hAnsi="Symbol" w:hint="default"/>
      </w:rPr>
    </w:lvl>
    <w:lvl w:ilvl="1" w:tplc="F7147DBE">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383A97"/>
    <w:multiLevelType w:val="hybridMultilevel"/>
    <w:tmpl w:val="C4849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E817EE"/>
    <w:multiLevelType w:val="hybridMultilevel"/>
    <w:tmpl w:val="5902FD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8C07EC"/>
    <w:multiLevelType w:val="hybridMultilevel"/>
    <w:tmpl w:val="457876F8"/>
    <w:lvl w:ilvl="0" w:tplc="CC822F28">
      <w:start w:val="1"/>
      <w:numFmt w:val="bullet"/>
      <w:lvlText w:val=""/>
      <w:lvlJc w:val="left"/>
      <w:pPr>
        <w:ind w:left="340" w:hanging="227"/>
      </w:pPr>
      <w:rPr>
        <w:rFonts w:ascii="Wingdings" w:hAnsi="Wingdings" w:hint="default"/>
        <w:color w:val="6EC6AA" w:themeColor="accent2"/>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23"/>
  </w:num>
  <w:num w:numId="15">
    <w:abstractNumId w:val="14"/>
  </w:num>
  <w:num w:numId="16">
    <w:abstractNumId w:val="26"/>
  </w:num>
  <w:num w:numId="17">
    <w:abstractNumId w:val="11"/>
  </w:num>
  <w:num w:numId="18">
    <w:abstractNumId w:val="13"/>
  </w:num>
  <w:num w:numId="19">
    <w:abstractNumId w:val="19"/>
  </w:num>
  <w:num w:numId="20">
    <w:abstractNumId w:val="25"/>
  </w:num>
  <w:num w:numId="21">
    <w:abstractNumId w:val="10"/>
  </w:num>
  <w:num w:numId="22">
    <w:abstractNumId w:val="18"/>
  </w:num>
  <w:num w:numId="23">
    <w:abstractNumId w:val="17"/>
  </w:num>
  <w:num w:numId="24">
    <w:abstractNumId w:val="27"/>
  </w:num>
  <w:num w:numId="25">
    <w:abstractNumId w:val="21"/>
  </w:num>
  <w:num w:numId="26">
    <w:abstractNumId w:val="20"/>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772"/>
    <w:rsid w:val="000022B9"/>
    <w:rsid w:val="00004775"/>
    <w:rsid w:val="000072AE"/>
    <w:rsid w:val="00007C70"/>
    <w:rsid w:val="0001390A"/>
    <w:rsid w:val="00024C4F"/>
    <w:rsid w:val="000267BB"/>
    <w:rsid w:val="0003011F"/>
    <w:rsid w:val="000326A3"/>
    <w:rsid w:val="00034D12"/>
    <w:rsid w:val="0003620A"/>
    <w:rsid w:val="000406FA"/>
    <w:rsid w:val="00046591"/>
    <w:rsid w:val="00050B20"/>
    <w:rsid w:val="00051DE1"/>
    <w:rsid w:val="00052BBC"/>
    <w:rsid w:val="0006197B"/>
    <w:rsid w:val="00062645"/>
    <w:rsid w:val="000627CA"/>
    <w:rsid w:val="00066C15"/>
    <w:rsid w:val="00072045"/>
    <w:rsid w:val="00074796"/>
    <w:rsid w:val="00076C95"/>
    <w:rsid w:val="00080A9E"/>
    <w:rsid w:val="0008307F"/>
    <w:rsid w:val="00087FF4"/>
    <w:rsid w:val="000920F5"/>
    <w:rsid w:val="0009536D"/>
    <w:rsid w:val="00097E8F"/>
    <w:rsid w:val="000A453D"/>
    <w:rsid w:val="000A55EF"/>
    <w:rsid w:val="000B0EFD"/>
    <w:rsid w:val="000B2473"/>
    <w:rsid w:val="000B2B07"/>
    <w:rsid w:val="000B5F9F"/>
    <w:rsid w:val="000B716A"/>
    <w:rsid w:val="000C321B"/>
    <w:rsid w:val="000C7DA1"/>
    <w:rsid w:val="000D27FF"/>
    <w:rsid w:val="000E0951"/>
    <w:rsid w:val="000E4B6E"/>
    <w:rsid w:val="000F5EA7"/>
    <w:rsid w:val="00110BE5"/>
    <w:rsid w:val="00111126"/>
    <w:rsid w:val="0011329B"/>
    <w:rsid w:val="00117177"/>
    <w:rsid w:val="00122FF1"/>
    <w:rsid w:val="0012453B"/>
    <w:rsid w:val="001245AA"/>
    <w:rsid w:val="00124927"/>
    <w:rsid w:val="001269CD"/>
    <w:rsid w:val="00135744"/>
    <w:rsid w:val="001410B0"/>
    <w:rsid w:val="00141CA4"/>
    <w:rsid w:val="001420F5"/>
    <w:rsid w:val="0014397D"/>
    <w:rsid w:val="0014786B"/>
    <w:rsid w:val="001536CF"/>
    <w:rsid w:val="00157F35"/>
    <w:rsid w:val="00163B3D"/>
    <w:rsid w:val="00166F62"/>
    <w:rsid w:val="00176649"/>
    <w:rsid w:val="001778D4"/>
    <w:rsid w:val="00184009"/>
    <w:rsid w:val="00184A04"/>
    <w:rsid w:val="00187192"/>
    <w:rsid w:val="00187F2E"/>
    <w:rsid w:val="001928CB"/>
    <w:rsid w:val="001A040F"/>
    <w:rsid w:val="001B2829"/>
    <w:rsid w:val="001B6F07"/>
    <w:rsid w:val="001C3E37"/>
    <w:rsid w:val="001D177B"/>
    <w:rsid w:val="001D2672"/>
    <w:rsid w:val="001D46BA"/>
    <w:rsid w:val="001E0333"/>
    <w:rsid w:val="001E33EC"/>
    <w:rsid w:val="001F0B42"/>
    <w:rsid w:val="001F5A1B"/>
    <w:rsid w:val="00206621"/>
    <w:rsid w:val="00207FDC"/>
    <w:rsid w:val="00215520"/>
    <w:rsid w:val="00215CB0"/>
    <w:rsid w:val="00217EAB"/>
    <w:rsid w:val="00220095"/>
    <w:rsid w:val="00224265"/>
    <w:rsid w:val="0022498C"/>
    <w:rsid w:val="00227ACD"/>
    <w:rsid w:val="002332EA"/>
    <w:rsid w:val="00237231"/>
    <w:rsid w:val="00252220"/>
    <w:rsid w:val="00252A9F"/>
    <w:rsid w:val="002566E0"/>
    <w:rsid w:val="00256FB5"/>
    <w:rsid w:val="00257FD7"/>
    <w:rsid w:val="00263D8D"/>
    <w:rsid w:val="002724D0"/>
    <w:rsid w:val="00272544"/>
    <w:rsid w:val="002863A9"/>
    <w:rsid w:val="00294A21"/>
    <w:rsid w:val="002A3E9B"/>
    <w:rsid w:val="002A4C71"/>
    <w:rsid w:val="002A6D86"/>
    <w:rsid w:val="002A7840"/>
    <w:rsid w:val="002B0D7E"/>
    <w:rsid w:val="002B1CE5"/>
    <w:rsid w:val="002B2810"/>
    <w:rsid w:val="002B628A"/>
    <w:rsid w:val="002C1AD1"/>
    <w:rsid w:val="002C7A3F"/>
    <w:rsid w:val="002D0433"/>
    <w:rsid w:val="002D1863"/>
    <w:rsid w:val="002E14E1"/>
    <w:rsid w:val="002E3EC7"/>
    <w:rsid w:val="002F35CA"/>
    <w:rsid w:val="002F48CB"/>
    <w:rsid w:val="002F4DB3"/>
    <w:rsid w:val="0030015C"/>
    <w:rsid w:val="00300D57"/>
    <w:rsid w:val="00300E04"/>
    <w:rsid w:val="00302488"/>
    <w:rsid w:val="00314365"/>
    <w:rsid w:val="003148E3"/>
    <w:rsid w:val="00316435"/>
    <w:rsid w:val="00321527"/>
    <w:rsid w:val="00322D62"/>
    <w:rsid w:val="00324C73"/>
    <w:rsid w:val="00327964"/>
    <w:rsid w:val="003353F9"/>
    <w:rsid w:val="003358C9"/>
    <w:rsid w:val="003412FF"/>
    <w:rsid w:val="0034310A"/>
    <w:rsid w:val="00350FFA"/>
    <w:rsid w:val="00353C1A"/>
    <w:rsid w:val="00353F1A"/>
    <w:rsid w:val="003632EF"/>
    <w:rsid w:val="0037306D"/>
    <w:rsid w:val="00376C1A"/>
    <w:rsid w:val="00382F07"/>
    <w:rsid w:val="00383051"/>
    <w:rsid w:val="0039325A"/>
    <w:rsid w:val="003932F3"/>
    <w:rsid w:val="003962C4"/>
    <w:rsid w:val="00396A55"/>
    <w:rsid w:val="00397A6E"/>
    <w:rsid w:val="003A6313"/>
    <w:rsid w:val="003B2A24"/>
    <w:rsid w:val="003B3951"/>
    <w:rsid w:val="003B6D67"/>
    <w:rsid w:val="003C23E2"/>
    <w:rsid w:val="003C2EC1"/>
    <w:rsid w:val="003D2CC8"/>
    <w:rsid w:val="003D4B12"/>
    <w:rsid w:val="003D6A22"/>
    <w:rsid w:val="003E0FC2"/>
    <w:rsid w:val="003E1A11"/>
    <w:rsid w:val="003F1C5A"/>
    <w:rsid w:val="00400F97"/>
    <w:rsid w:val="00404E9A"/>
    <w:rsid w:val="00412284"/>
    <w:rsid w:val="004139E2"/>
    <w:rsid w:val="00413FCD"/>
    <w:rsid w:val="00414677"/>
    <w:rsid w:val="00416164"/>
    <w:rsid w:val="004165E1"/>
    <w:rsid w:val="00422699"/>
    <w:rsid w:val="00423B8F"/>
    <w:rsid w:val="004243C7"/>
    <w:rsid w:val="00430E56"/>
    <w:rsid w:val="00433ADE"/>
    <w:rsid w:val="00435A65"/>
    <w:rsid w:val="00435F12"/>
    <w:rsid w:val="004379E7"/>
    <w:rsid w:val="00444CF7"/>
    <w:rsid w:val="0044581A"/>
    <w:rsid w:val="00445A48"/>
    <w:rsid w:val="00447059"/>
    <w:rsid w:val="00453C04"/>
    <w:rsid w:val="00454565"/>
    <w:rsid w:val="00455F6E"/>
    <w:rsid w:val="00464927"/>
    <w:rsid w:val="004747CA"/>
    <w:rsid w:val="00477E75"/>
    <w:rsid w:val="0048299B"/>
    <w:rsid w:val="00483348"/>
    <w:rsid w:val="00487D29"/>
    <w:rsid w:val="00490685"/>
    <w:rsid w:val="00492695"/>
    <w:rsid w:val="004936EB"/>
    <w:rsid w:val="004951FC"/>
    <w:rsid w:val="00496B91"/>
    <w:rsid w:val="00497764"/>
    <w:rsid w:val="004A0979"/>
    <w:rsid w:val="004A26DB"/>
    <w:rsid w:val="004A3053"/>
    <w:rsid w:val="004A3ABE"/>
    <w:rsid w:val="004A7209"/>
    <w:rsid w:val="004B0AC7"/>
    <w:rsid w:val="004B4D99"/>
    <w:rsid w:val="004C6523"/>
    <w:rsid w:val="004D1BC5"/>
    <w:rsid w:val="004D3131"/>
    <w:rsid w:val="004D35BC"/>
    <w:rsid w:val="004E2B07"/>
    <w:rsid w:val="004E2D6A"/>
    <w:rsid w:val="004F0DE7"/>
    <w:rsid w:val="004F1A16"/>
    <w:rsid w:val="004F2BB5"/>
    <w:rsid w:val="004F7827"/>
    <w:rsid w:val="00503997"/>
    <w:rsid w:val="0050408E"/>
    <w:rsid w:val="00506637"/>
    <w:rsid w:val="0051352E"/>
    <w:rsid w:val="005139D7"/>
    <w:rsid w:val="005150A0"/>
    <w:rsid w:val="0051787D"/>
    <w:rsid w:val="00517DA7"/>
    <w:rsid w:val="00520A33"/>
    <w:rsid w:val="005213C2"/>
    <w:rsid w:val="00527AE4"/>
    <w:rsid w:val="00543024"/>
    <w:rsid w:val="0054644D"/>
    <w:rsid w:val="00546F3F"/>
    <w:rsid w:val="0055156A"/>
    <w:rsid w:val="005528B6"/>
    <w:rsid w:val="00552FCF"/>
    <w:rsid w:val="00553F1B"/>
    <w:rsid w:val="0055569D"/>
    <w:rsid w:val="00560871"/>
    <w:rsid w:val="005666AE"/>
    <w:rsid w:val="005669DD"/>
    <w:rsid w:val="0056748F"/>
    <w:rsid w:val="0057292D"/>
    <w:rsid w:val="005739CC"/>
    <w:rsid w:val="00585F87"/>
    <w:rsid w:val="00587DD1"/>
    <w:rsid w:val="00590860"/>
    <w:rsid w:val="005A789F"/>
    <w:rsid w:val="005B27F9"/>
    <w:rsid w:val="005B5E10"/>
    <w:rsid w:val="005B60F1"/>
    <w:rsid w:val="005B7109"/>
    <w:rsid w:val="005C0062"/>
    <w:rsid w:val="005C2F3E"/>
    <w:rsid w:val="005C6FFA"/>
    <w:rsid w:val="005C760E"/>
    <w:rsid w:val="005D29F4"/>
    <w:rsid w:val="005D7CE7"/>
    <w:rsid w:val="005E0B01"/>
    <w:rsid w:val="005F030D"/>
    <w:rsid w:val="005F0DD2"/>
    <w:rsid w:val="005F294A"/>
    <w:rsid w:val="005F359F"/>
    <w:rsid w:val="005F5550"/>
    <w:rsid w:val="00602485"/>
    <w:rsid w:val="00607B26"/>
    <w:rsid w:val="00610768"/>
    <w:rsid w:val="006108C7"/>
    <w:rsid w:val="00610A38"/>
    <w:rsid w:val="0061327C"/>
    <w:rsid w:val="006158A2"/>
    <w:rsid w:val="00616576"/>
    <w:rsid w:val="00620C7F"/>
    <w:rsid w:val="00623B43"/>
    <w:rsid w:val="00623D98"/>
    <w:rsid w:val="00624169"/>
    <w:rsid w:val="00627FBB"/>
    <w:rsid w:val="00630DDF"/>
    <w:rsid w:val="0063735F"/>
    <w:rsid w:val="006469F9"/>
    <w:rsid w:val="00647C73"/>
    <w:rsid w:val="0065097B"/>
    <w:rsid w:val="00650AEF"/>
    <w:rsid w:val="00652613"/>
    <w:rsid w:val="00663672"/>
    <w:rsid w:val="00674C6A"/>
    <w:rsid w:val="0067637D"/>
    <w:rsid w:val="006865BA"/>
    <w:rsid w:val="006A1979"/>
    <w:rsid w:val="006A5A2C"/>
    <w:rsid w:val="006B4A5F"/>
    <w:rsid w:val="006B5C70"/>
    <w:rsid w:val="006D2E72"/>
    <w:rsid w:val="006D2ED4"/>
    <w:rsid w:val="006E4219"/>
    <w:rsid w:val="006E4AC5"/>
    <w:rsid w:val="006E5D6E"/>
    <w:rsid w:val="006F39DB"/>
    <w:rsid w:val="006F3FF0"/>
    <w:rsid w:val="006F6301"/>
    <w:rsid w:val="006F75EF"/>
    <w:rsid w:val="007013B4"/>
    <w:rsid w:val="00704A32"/>
    <w:rsid w:val="007066AE"/>
    <w:rsid w:val="00710282"/>
    <w:rsid w:val="00721B03"/>
    <w:rsid w:val="00725DE0"/>
    <w:rsid w:val="007303AA"/>
    <w:rsid w:val="007306A2"/>
    <w:rsid w:val="00734F34"/>
    <w:rsid w:val="00736AB6"/>
    <w:rsid w:val="00743159"/>
    <w:rsid w:val="00743F6E"/>
    <w:rsid w:val="00746D75"/>
    <w:rsid w:val="007511C5"/>
    <w:rsid w:val="00751FB4"/>
    <w:rsid w:val="0075520E"/>
    <w:rsid w:val="007570DC"/>
    <w:rsid w:val="00757A19"/>
    <w:rsid w:val="00760930"/>
    <w:rsid w:val="0076102B"/>
    <w:rsid w:val="00764BB0"/>
    <w:rsid w:val="007654CD"/>
    <w:rsid w:val="00766335"/>
    <w:rsid w:val="0077799B"/>
    <w:rsid w:val="00785F4A"/>
    <w:rsid w:val="00786F6E"/>
    <w:rsid w:val="00787C33"/>
    <w:rsid w:val="00790CDC"/>
    <w:rsid w:val="007A402A"/>
    <w:rsid w:val="007A47B3"/>
    <w:rsid w:val="007A535D"/>
    <w:rsid w:val="007B01A5"/>
    <w:rsid w:val="007B1ABA"/>
    <w:rsid w:val="007B5D8C"/>
    <w:rsid w:val="007B74C5"/>
    <w:rsid w:val="007C02A3"/>
    <w:rsid w:val="007C2279"/>
    <w:rsid w:val="007C24D6"/>
    <w:rsid w:val="007D1096"/>
    <w:rsid w:val="007D5B0A"/>
    <w:rsid w:val="007D5FA6"/>
    <w:rsid w:val="007E7518"/>
    <w:rsid w:val="007F1FA7"/>
    <w:rsid w:val="00813A47"/>
    <w:rsid w:val="00813EEF"/>
    <w:rsid w:val="0082472E"/>
    <w:rsid w:val="00830560"/>
    <w:rsid w:val="00831EA7"/>
    <w:rsid w:val="00845878"/>
    <w:rsid w:val="00845F9D"/>
    <w:rsid w:val="0084691A"/>
    <w:rsid w:val="008507C1"/>
    <w:rsid w:val="00852C62"/>
    <w:rsid w:val="008555EB"/>
    <w:rsid w:val="008606FD"/>
    <w:rsid w:val="00861934"/>
    <w:rsid w:val="00863263"/>
    <w:rsid w:val="00867425"/>
    <w:rsid w:val="00874AD4"/>
    <w:rsid w:val="008767AF"/>
    <w:rsid w:val="008816E1"/>
    <w:rsid w:val="008845EB"/>
    <w:rsid w:val="008849CF"/>
    <w:rsid w:val="00887C92"/>
    <w:rsid w:val="008913B0"/>
    <w:rsid w:val="00892AFD"/>
    <w:rsid w:val="00893260"/>
    <w:rsid w:val="0089378D"/>
    <w:rsid w:val="00893D9E"/>
    <w:rsid w:val="0089679F"/>
    <w:rsid w:val="008A6B33"/>
    <w:rsid w:val="008B384E"/>
    <w:rsid w:val="008B549B"/>
    <w:rsid w:val="008C373C"/>
    <w:rsid w:val="008C6258"/>
    <w:rsid w:val="008C7C4D"/>
    <w:rsid w:val="008D3943"/>
    <w:rsid w:val="008D4A09"/>
    <w:rsid w:val="008D73C2"/>
    <w:rsid w:val="008E361F"/>
    <w:rsid w:val="008E4925"/>
    <w:rsid w:val="008F0845"/>
    <w:rsid w:val="008F0AC9"/>
    <w:rsid w:val="008F2B36"/>
    <w:rsid w:val="009006D2"/>
    <w:rsid w:val="00901D43"/>
    <w:rsid w:val="00905759"/>
    <w:rsid w:val="00916A0B"/>
    <w:rsid w:val="009236E2"/>
    <w:rsid w:val="009238D7"/>
    <w:rsid w:val="00927C71"/>
    <w:rsid w:val="00931534"/>
    <w:rsid w:val="0093473D"/>
    <w:rsid w:val="00944ECC"/>
    <w:rsid w:val="00950030"/>
    <w:rsid w:val="00956A35"/>
    <w:rsid w:val="00957F93"/>
    <w:rsid w:val="00960E72"/>
    <w:rsid w:val="00964404"/>
    <w:rsid w:val="00964B8C"/>
    <w:rsid w:val="009725B9"/>
    <w:rsid w:val="00972F57"/>
    <w:rsid w:val="00977310"/>
    <w:rsid w:val="00984C16"/>
    <w:rsid w:val="0098599A"/>
    <w:rsid w:val="00986E10"/>
    <w:rsid w:val="0099282B"/>
    <w:rsid w:val="00995280"/>
    <w:rsid w:val="0099663D"/>
    <w:rsid w:val="009A47F6"/>
    <w:rsid w:val="009B1891"/>
    <w:rsid w:val="009B33ED"/>
    <w:rsid w:val="009C4FA7"/>
    <w:rsid w:val="009C5ED4"/>
    <w:rsid w:val="009D60BF"/>
    <w:rsid w:val="009E58F4"/>
    <w:rsid w:val="009F6A8B"/>
    <w:rsid w:val="00A071D3"/>
    <w:rsid w:val="00A07CEE"/>
    <w:rsid w:val="00A07CFB"/>
    <w:rsid w:val="00A1114E"/>
    <w:rsid w:val="00A1643D"/>
    <w:rsid w:val="00A24E6E"/>
    <w:rsid w:val="00A269D4"/>
    <w:rsid w:val="00A35F76"/>
    <w:rsid w:val="00A37045"/>
    <w:rsid w:val="00A3722A"/>
    <w:rsid w:val="00A41273"/>
    <w:rsid w:val="00A414AA"/>
    <w:rsid w:val="00A43694"/>
    <w:rsid w:val="00A440F9"/>
    <w:rsid w:val="00A4631D"/>
    <w:rsid w:val="00A56FC7"/>
    <w:rsid w:val="00A57050"/>
    <w:rsid w:val="00A668BF"/>
    <w:rsid w:val="00A66C8F"/>
    <w:rsid w:val="00A71AEC"/>
    <w:rsid w:val="00A72575"/>
    <w:rsid w:val="00A74071"/>
    <w:rsid w:val="00A754E4"/>
    <w:rsid w:val="00A755EF"/>
    <w:rsid w:val="00A907E8"/>
    <w:rsid w:val="00A93019"/>
    <w:rsid w:val="00A93569"/>
    <w:rsid w:val="00A94DFD"/>
    <w:rsid w:val="00A966D7"/>
    <w:rsid w:val="00A9775A"/>
    <w:rsid w:val="00AA124A"/>
    <w:rsid w:val="00AA2A96"/>
    <w:rsid w:val="00AA4C21"/>
    <w:rsid w:val="00AB112D"/>
    <w:rsid w:val="00AB7B61"/>
    <w:rsid w:val="00AC2975"/>
    <w:rsid w:val="00AC51B3"/>
    <w:rsid w:val="00AD390C"/>
    <w:rsid w:val="00AE19F5"/>
    <w:rsid w:val="00AE2F66"/>
    <w:rsid w:val="00AE5105"/>
    <w:rsid w:val="00AE58EB"/>
    <w:rsid w:val="00AF04DE"/>
    <w:rsid w:val="00AF1D8C"/>
    <w:rsid w:val="00B05AB8"/>
    <w:rsid w:val="00B07A5B"/>
    <w:rsid w:val="00B100CC"/>
    <w:rsid w:val="00B12C22"/>
    <w:rsid w:val="00B1390E"/>
    <w:rsid w:val="00B20547"/>
    <w:rsid w:val="00B24F3B"/>
    <w:rsid w:val="00B26B5B"/>
    <w:rsid w:val="00B3097A"/>
    <w:rsid w:val="00B46CBF"/>
    <w:rsid w:val="00B50B31"/>
    <w:rsid w:val="00B5397B"/>
    <w:rsid w:val="00B53B79"/>
    <w:rsid w:val="00B54D35"/>
    <w:rsid w:val="00B62D07"/>
    <w:rsid w:val="00B634EC"/>
    <w:rsid w:val="00B6689D"/>
    <w:rsid w:val="00B70D06"/>
    <w:rsid w:val="00B719EB"/>
    <w:rsid w:val="00B72368"/>
    <w:rsid w:val="00B803C4"/>
    <w:rsid w:val="00B8242D"/>
    <w:rsid w:val="00B82A12"/>
    <w:rsid w:val="00B82D86"/>
    <w:rsid w:val="00B85C4F"/>
    <w:rsid w:val="00B85FB9"/>
    <w:rsid w:val="00B94A05"/>
    <w:rsid w:val="00BA03F9"/>
    <w:rsid w:val="00BA0E22"/>
    <w:rsid w:val="00BB132D"/>
    <w:rsid w:val="00BB2825"/>
    <w:rsid w:val="00BB3BE1"/>
    <w:rsid w:val="00BB5D19"/>
    <w:rsid w:val="00BB6F14"/>
    <w:rsid w:val="00BC0D44"/>
    <w:rsid w:val="00BC5801"/>
    <w:rsid w:val="00BC6585"/>
    <w:rsid w:val="00BD4E11"/>
    <w:rsid w:val="00BD57CF"/>
    <w:rsid w:val="00BD6355"/>
    <w:rsid w:val="00BD6741"/>
    <w:rsid w:val="00BD7C02"/>
    <w:rsid w:val="00BE0FBF"/>
    <w:rsid w:val="00BF3D29"/>
    <w:rsid w:val="00BF4901"/>
    <w:rsid w:val="00BF4C75"/>
    <w:rsid w:val="00BF4F33"/>
    <w:rsid w:val="00BF7613"/>
    <w:rsid w:val="00C01617"/>
    <w:rsid w:val="00C01FC8"/>
    <w:rsid w:val="00C04361"/>
    <w:rsid w:val="00C044C6"/>
    <w:rsid w:val="00C04D43"/>
    <w:rsid w:val="00C05AD9"/>
    <w:rsid w:val="00C0660A"/>
    <w:rsid w:val="00C1366E"/>
    <w:rsid w:val="00C162ED"/>
    <w:rsid w:val="00C20605"/>
    <w:rsid w:val="00C209CE"/>
    <w:rsid w:val="00C20C5B"/>
    <w:rsid w:val="00C24BA0"/>
    <w:rsid w:val="00C26C72"/>
    <w:rsid w:val="00C27E4D"/>
    <w:rsid w:val="00C47F6E"/>
    <w:rsid w:val="00C50273"/>
    <w:rsid w:val="00C532C2"/>
    <w:rsid w:val="00C549BC"/>
    <w:rsid w:val="00C54D58"/>
    <w:rsid w:val="00C573E1"/>
    <w:rsid w:val="00C6019D"/>
    <w:rsid w:val="00C60222"/>
    <w:rsid w:val="00C60AE3"/>
    <w:rsid w:val="00C6451F"/>
    <w:rsid w:val="00C6630A"/>
    <w:rsid w:val="00C70EF2"/>
    <w:rsid w:val="00C7170F"/>
    <w:rsid w:val="00C71DF6"/>
    <w:rsid w:val="00C72859"/>
    <w:rsid w:val="00C736D3"/>
    <w:rsid w:val="00C85EEF"/>
    <w:rsid w:val="00C8626A"/>
    <w:rsid w:val="00C9162E"/>
    <w:rsid w:val="00C93824"/>
    <w:rsid w:val="00C93F68"/>
    <w:rsid w:val="00C95DF6"/>
    <w:rsid w:val="00C96091"/>
    <w:rsid w:val="00CA0F83"/>
    <w:rsid w:val="00CC6E22"/>
    <w:rsid w:val="00CD058E"/>
    <w:rsid w:val="00CD408A"/>
    <w:rsid w:val="00CE29BD"/>
    <w:rsid w:val="00CF05C5"/>
    <w:rsid w:val="00CF43E4"/>
    <w:rsid w:val="00D06EDF"/>
    <w:rsid w:val="00D06F44"/>
    <w:rsid w:val="00D1320D"/>
    <w:rsid w:val="00D136EE"/>
    <w:rsid w:val="00D145CC"/>
    <w:rsid w:val="00D223A2"/>
    <w:rsid w:val="00D23548"/>
    <w:rsid w:val="00D27343"/>
    <w:rsid w:val="00D37B84"/>
    <w:rsid w:val="00D40122"/>
    <w:rsid w:val="00D46C88"/>
    <w:rsid w:val="00D52EEC"/>
    <w:rsid w:val="00D53ADB"/>
    <w:rsid w:val="00D62680"/>
    <w:rsid w:val="00D63A8C"/>
    <w:rsid w:val="00D66CD8"/>
    <w:rsid w:val="00D66FC7"/>
    <w:rsid w:val="00D70C0B"/>
    <w:rsid w:val="00D811FD"/>
    <w:rsid w:val="00D84B3E"/>
    <w:rsid w:val="00D9055D"/>
    <w:rsid w:val="00D91FE2"/>
    <w:rsid w:val="00DA1B7B"/>
    <w:rsid w:val="00DA4ACC"/>
    <w:rsid w:val="00DA608A"/>
    <w:rsid w:val="00DA61C7"/>
    <w:rsid w:val="00DB19F7"/>
    <w:rsid w:val="00DB28E5"/>
    <w:rsid w:val="00DB79DF"/>
    <w:rsid w:val="00DC13F2"/>
    <w:rsid w:val="00DC4FBC"/>
    <w:rsid w:val="00DC5CC1"/>
    <w:rsid w:val="00DC6B69"/>
    <w:rsid w:val="00DD42EE"/>
    <w:rsid w:val="00DD4850"/>
    <w:rsid w:val="00DD67C9"/>
    <w:rsid w:val="00DD6D87"/>
    <w:rsid w:val="00DE10C6"/>
    <w:rsid w:val="00E1562F"/>
    <w:rsid w:val="00E214B7"/>
    <w:rsid w:val="00E27AC7"/>
    <w:rsid w:val="00E3243F"/>
    <w:rsid w:val="00E34EE2"/>
    <w:rsid w:val="00E42201"/>
    <w:rsid w:val="00E4376B"/>
    <w:rsid w:val="00E4658F"/>
    <w:rsid w:val="00E47EE9"/>
    <w:rsid w:val="00E517E9"/>
    <w:rsid w:val="00E55D13"/>
    <w:rsid w:val="00E57A68"/>
    <w:rsid w:val="00E63A39"/>
    <w:rsid w:val="00E65772"/>
    <w:rsid w:val="00E657B7"/>
    <w:rsid w:val="00E70367"/>
    <w:rsid w:val="00E801CE"/>
    <w:rsid w:val="00E858CD"/>
    <w:rsid w:val="00E94E20"/>
    <w:rsid w:val="00E96190"/>
    <w:rsid w:val="00E972B9"/>
    <w:rsid w:val="00EA094F"/>
    <w:rsid w:val="00EA32F7"/>
    <w:rsid w:val="00EB16AC"/>
    <w:rsid w:val="00EB31E9"/>
    <w:rsid w:val="00EB6D70"/>
    <w:rsid w:val="00EC5908"/>
    <w:rsid w:val="00EC7CC2"/>
    <w:rsid w:val="00ED2134"/>
    <w:rsid w:val="00ED29EA"/>
    <w:rsid w:val="00ED4F18"/>
    <w:rsid w:val="00EE10D2"/>
    <w:rsid w:val="00EE29A4"/>
    <w:rsid w:val="00EE3B5A"/>
    <w:rsid w:val="00EE7B7D"/>
    <w:rsid w:val="00EF0C8F"/>
    <w:rsid w:val="00EF31D4"/>
    <w:rsid w:val="00F0004E"/>
    <w:rsid w:val="00F020D6"/>
    <w:rsid w:val="00F02934"/>
    <w:rsid w:val="00F049A8"/>
    <w:rsid w:val="00F04FCF"/>
    <w:rsid w:val="00F062C1"/>
    <w:rsid w:val="00F06ACF"/>
    <w:rsid w:val="00F11266"/>
    <w:rsid w:val="00F2081C"/>
    <w:rsid w:val="00F230CD"/>
    <w:rsid w:val="00F23DE8"/>
    <w:rsid w:val="00F30CA1"/>
    <w:rsid w:val="00F3773D"/>
    <w:rsid w:val="00F4428A"/>
    <w:rsid w:val="00F461C7"/>
    <w:rsid w:val="00F468F8"/>
    <w:rsid w:val="00F50AA5"/>
    <w:rsid w:val="00F50AF5"/>
    <w:rsid w:val="00F5177C"/>
    <w:rsid w:val="00F51C18"/>
    <w:rsid w:val="00F5348C"/>
    <w:rsid w:val="00F53B7B"/>
    <w:rsid w:val="00F56371"/>
    <w:rsid w:val="00F564CA"/>
    <w:rsid w:val="00F5678F"/>
    <w:rsid w:val="00F61925"/>
    <w:rsid w:val="00F65558"/>
    <w:rsid w:val="00F8268D"/>
    <w:rsid w:val="00F858A5"/>
    <w:rsid w:val="00F85F2A"/>
    <w:rsid w:val="00F90A30"/>
    <w:rsid w:val="00F9697D"/>
    <w:rsid w:val="00F97FE9"/>
    <w:rsid w:val="00FA091F"/>
    <w:rsid w:val="00FA31E2"/>
    <w:rsid w:val="00FA3C65"/>
    <w:rsid w:val="00FB66D5"/>
    <w:rsid w:val="00FB7024"/>
    <w:rsid w:val="00FC0C78"/>
    <w:rsid w:val="00FD18AA"/>
    <w:rsid w:val="00FD1CDF"/>
    <w:rsid w:val="00FD2DA5"/>
    <w:rsid w:val="00FD3E6A"/>
    <w:rsid w:val="00FD3F7B"/>
    <w:rsid w:val="00FD530E"/>
    <w:rsid w:val="00FD7377"/>
    <w:rsid w:val="00FE5FD2"/>
    <w:rsid w:val="00FE7B31"/>
    <w:rsid w:val="00FF06DE"/>
    <w:rsid w:val="00FF5B70"/>
    <w:rsid w:val="00FF5BB9"/>
    <w:rsid w:val="00FF7868"/>
    <w:rsid w:val="00FF7CEF"/>
    <w:rsid w:val="0797912B"/>
    <w:rsid w:val="07C1C59F"/>
    <w:rsid w:val="08BA5E0F"/>
    <w:rsid w:val="0A18B45D"/>
    <w:rsid w:val="0B043106"/>
    <w:rsid w:val="0B81316C"/>
    <w:rsid w:val="0F132B4C"/>
    <w:rsid w:val="0F35102A"/>
    <w:rsid w:val="15E62CC6"/>
    <w:rsid w:val="17BC7837"/>
    <w:rsid w:val="1B892287"/>
    <w:rsid w:val="1BB4D76A"/>
    <w:rsid w:val="1BF590E3"/>
    <w:rsid w:val="1EB65F4E"/>
    <w:rsid w:val="1EE0558F"/>
    <w:rsid w:val="260424CC"/>
    <w:rsid w:val="29F46DDE"/>
    <w:rsid w:val="2B976346"/>
    <w:rsid w:val="2D933201"/>
    <w:rsid w:val="30D5868E"/>
    <w:rsid w:val="31F32F2C"/>
    <w:rsid w:val="34BDDB30"/>
    <w:rsid w:val="37BAF410"/>
    <w:rsid w:val="392C9A02"/>
    <w:rsid w:val="40B4BAE2"/>
    <w:rsid w:val="4288DBDE"/>
    <w:rsid w:val="43AA8596"/>
    <w:rsid w:val="47C88FEA"/>
    <w:rsid w:val="4E327E4E"/>
    <w:rsid w:val="4F8D6915"/>
    <w:rsid w:val="5272B93C"/>
    <w:rsid w:val="5821D160"/>
    <w:rsid w:val="5876E66E"/>
    <w:rsid w:val="59983A92"/>
    <w:rsid w:val="5A608D87"/>
    <w:rsid w:val="5CCA16CD"/>
    <w:rsid w:val="5DB71C91"/>
    <w:rsid w:val="5EEFA9C2"/>
    <w:rsid w:val="6110A169"/>
    <w:rsid w:val="6187D973"/>
    <w:rsid w:val="67FD7234"/>
    <w:rsid w:val="68DF602E"/>
    <w:rsid w:val="6BD386D4"/>
    <w:rsid w:val="6E66CBF7"/>
    <w:rsid w:val="71B0E933"/>
    <w:rsid w:val="72CAA41D"/>
    <w:rsid w:val="7A89FB81"/>
    <w:rsid w:val="7AB4EBF4"/>
    <w:rsid w:val="7DCA7DD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00EEDF78"/>
  <w14:defaultImageDpi w14:val="330"/>
  <w15:chartTrackingRefBased/>
  <w15:docId w15:val="{E39D9B89-FD56-4C67-A75C-3BD30FC2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1"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BB132D"/>
    <w:pPr>
      <w:keepNext/>
      <w:keepLines/>
      <w:spacing w:before="240" w:after="120" w:line="240" w:lineRule="auto"/>
      <w:outlineLvl w:val="0"/>
    </w:pPr>
    <w:rPr>
      <w:rFonts w:asciiTheme="majorHAnsi" w:eastAsiaTheme="majorEastAsia" w:hAnsiTheme="majorHAnsi" w:cstheme="majorBidi"/>
      <w:color w:val="6EC6AA" w:themeColor="accent2"/>
      <w:sz w:val="32"/>
      <w:szCs w:val="32"/>
    </w:rPr>
  </w:style>
  <w:style w:type="paragraph" w:styleId="Heading2">
    <w:name w:val="heading 2"/>
    <w:basedOn w:val="Normal"/>
    <w:next w:val="Normal"/>
    <w:link w:val="Heading2Char"/>
    <w:uiPriority w:val="9"/>
    <w:unhideWhenUsed/>
    <w:qFormat/>
    <w:rsid w:val="00BB132D"/>
    <w:pPr>
      <w:keepNext/>
      <w:keepLines/>
      <w:spacing w:before="120" w:after="120" w:line="240" w:lineRule="auto"/>
      <w:outlineLvl w:val="1"/>
    </w:pPr>
    <w:rPr>
      <w:rFonts w:asciiTheme="majorHAnsi" w:eastAsiaTheme="majorEastAsia" w:hAnsiTheme="majorHAnsi" w:cstheme="majorBidi"/>
      <w:b/>
      <w:color w:val="002D3F" w:themeColor="accent1"/>
      <w:sz w:val="26"/>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BB132D"/>
    <w:rPr>
      <w:rFonts w:asciiTheme="majorHAnsi" w:eastAsiaTheme="majorEastAsia" w:hAnsiTheme="majorHAnsi" w:cstheme="majorBidi"/>
      <w:color w:val="6EC6AA" w:themeColor="accent2"/>
      <w:sz w:val="32"/>
      <w:szCs w:val="32"/>
    </w:rPr>
  </w:style>
  <w:style w:type="character" w:customStyle="1" w:styleId="Heading2Char">
    <w:name w:val="Heading 2 Char"/>
    <w:basedOn w:val="DefaultParagraphFont"/>
    <w:link w:val="Heading2"/>
    <w:uiPriority w:val="9"/>
    <w:rsid w:val="00BB132D"/>
    <w:rPr>
      <w:rFonts w:asciiTheme="majorHAnsi" w:eastAsiaTheme="majorEastAsia" w:hAnsiTheme="majorHAnsi" w:cstheme="majorBidi"/>
      <w:b/>
      <w:color w:val="002D3F" w:themeColor="accent1"/>
      <w:sz w:val="26"/>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44546A"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CommentReference">
    <w:name w:val="annotation reference"/>
    <w:basedOn w:val="DefaultParagraphFont"/>
    <w:uiPriority w:val="99"/>
    <w:semiHidden/>
    <w:unhideWhenUsed/>
    <w:rsid w:val="006469F9"/>
    <w:rPr>
      <w:sz w:val="16"/>
      <w:szCs w:val="16"/>
    </w:rPr>
  </w:style>
  <w:style w:type="paragraph" w:styleId="CommentText">
    <w:name w:val="annotation text"/>
    <w:basedOn w:val="Normal"/>
    <w:link w:val="CommentTextChar"/>
    <w:uiPriority w:val="99"/>
    <w:semiHidden/>
    <w:unhideWhenUsed/>
    <w:rsid w:val="006469F9"/>
    <w:pPr>
      <w:spacing w:line="240" w:lineRule="auto"/>
    </w:pPr>
    <w:rPr>
      <w:sz w:val="20"/>
      <w:szCs w:val="20"/>
    </w:rPr>
  </w:style>
  <w:style w:type="character" w:customStyle="1" w:styleId="CommentTextChar">
    <w:name w:val="Comment Text Char"/>
    <w:basedOn w:val="DefaultParagraphFont"/>
    <w:link w:val="CommentText"/>
    <w:uiPriority w:val="99"/>
    <w:semiHidden/>
    <w:rsid w:val="006469F9"/>
    <w:rPr>
      <w:sz w:val="20"/>
      <w:szCs w:val="20"/>
    </w:rPr>
  </w:style>
  <w:style w:type="paragraph" w:styleId="CommentSubject">
    <w:name w:val="annotation subject"/>
    <w:basedOn w:val="CommentText"/>
    <w:next w:val="CommentText"/>
    <w:link w:val="CommentSubjectChar"/>
    <w:uiPriority w:val="99"/>
    <w:semiHidden/>
    <w:unhideWhenUsed/>
    <w:rsid w:val="006469F9"/>
    <w:rPr>
      <w:b/>
      <w:bCs/>
    </w:rPr>
  </w:style>
  <w:style w:type="character" w:customStyle="1" w:styleId="CommentSubjectChar">
    <w:name w:val="Comment Subject Char"/>
    <w:basedOn w:val="CommentTextChar"/>
    <w:link w:val="CommentSubject"/>
    <w:uiPriority w:val="99"/>
    <w:semiHidden/>
    <w:rsid w:val="006469F9"/>
    <w:rPr>
      <w:b/>
      <w:bCs/>
      <w:sz w:val="20"/>
      <w:szCs w:val="20"/>
    </w:rPr>
  </w:style>
  <w:style w:type="paragraph" w:styleId="Revision">
    <w:name w:val="Revision"/>
    <w:hidden/>
    <w:uiPriority w:val="99"/>
    <w:semiHidden/>
    <w:rsid w:val="00790CDC"/>
    <w:pPr>
      <w:spacing w:after="0" w:line="240" w:lineRule="auto"/>
    </w:pPr>
  </w:style>
  <w:style w:type="character" w:customStyle="1" w:styleId="UnresolvedMention2">
    <w:name w:val="Unresolved Mention2"/>
    <w:basedOn w:val="DefaultParagraphFont"/>
    <w:uiPriority w:val="99"/>
    <w:unhideWhenUsed/>
    <w:rsid w:val="000D27FF"/>
    <w:rPr>
      <w:color w:val="605E5C"/>
      <w:shd w:val="clear" w:color="auto" w:fill="E1DFDD"/>
    </w:rPr>
  </w:style>
  <w:style w:type="character" w:customStyle="1" w:styleId="UnresolvedMention20">
    <w:name w:val="Unresolved Mention20"/>
    <w:basedOn w:val="DefaultParagraphFont"/>
    <w:uiPriority w:val="99"/>
    <w:semiHidden/>
    <w:unhideWhenUsed/>
    <w:rsid w:val="00110BE5"/>
    <w:rPr>
      <w:color w:val="605E5C"/>
      <w:shd w:val="clear" w:color="auto" w:fill="E1DFDD"/>
    </w:rPr>
  </w:style>
  <w:style w:type="character" w:customStyle="1" w:styleId="Mention1">
    <w:name w:val="Mention1"/>
    <w:basedOn w:val="DefaultParagraphFont"/>
    <w:uiPriority w:val="99"/>
    <w:unhideWhenUsed/>
    <w:rsid w:val="00110BE5"/>
    <w:rPr>
      <w:color w:val="2B579A"/>
      <w:shd w:val="clear" w:color="auto" w:fill="E1DFDD"/>
    </w:rPr>
  </w:style>
  <w:style w:type="character" w:customStyle="1" w:styleId="UnresolvedMention3">
    <w:name w:val="Unresolved Mention3"/>
    <w:basedOn w:val="DefaultParagraphFont"/>
    <w:uiPriority w:val="99"/>
    <w:semiHidden/>
    <w:unhideWhenUsed/>
    <w:rsid w:val="0003011F"/>
    <w:rPr>
      <w:color w:val="605E5C"/>
      <w:shd w:val="clear" w:color="auto" w:fill="E1DFDD"/>
    </w:rPr>
  </w:style>
  <w:style w:type="character" w:styleId="FollowedHyperlink">
    <w:name w:val="FollowedHyperlink"/>
    <w:basedOn w:val="DefaultParagraphFont"/>
    <w:uiPriority w:val="99"/>
    <w:semiHidden/>
    <w:unhideWhenUsed/>
    <w:rsid w:val="00C26C72"/>
    <w:rPr>
      <w:color w:val="954F72" w:themeColor="followedHyperlink"/>
      <w:u w:val="single"/>
    </w:rPr>
  </w:style>
  <w:style w:type="character" w:customStyle="1" w:styleId="UnresolvedMention4">
    <w:name w:val="Unresolved Mention4"/>
    <w:basedOn w:val="DefaultParagraphFont"/>
    <w:uiPriority w:val="99"/>
    <w:semiHidden/>
    <w:unhideWhenUsed/>
    <w:rsid w:val="00487D29"/>
    <w:rPr>
      <w:color w:val="605E5C"/>
      <w:shd w:val="clear" w:color="auto" w:fill="E1DFDD"/>
    </w:rPr>
  </w:style>
  <w:style w:type="character" w:styleId="UnresolvedMention">
    <w:name w:val="Unresolved Mention"/>
    <w:basedOn w:val="DefaultParagraphFont"/>
    <w:uiPriority w:val="99"/>
    <w:semiHidden/>
    <w:unhideWhenUsed/>
    <w:rsid w:val="006A1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1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killreform.gov.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ese.gov.au/quality-refor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killsreform.gov.au/qu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rodapp.application.enet\OfficeTemplates\DESE\Factsheet%20Template.dotx" TargetMode="External"/></Relationships>
</file>

<file path=word/theme/theme1.xml><?xml version="1.0" encoding="utf-8"?>
<a:theme xmlns:a="http://schemas.openxmlformats.org/drawingml/2006/main" name="Office Theme">
  <a:themeElements>
    <a:clrScheme name="Skills Reform Colours">
      <a:dk1>
        <a:sysClr val="windowText" lastClr="000000"/>
      </a:dk1>
      <a:lt1>
        <a:sysClr val="window" lastClr="FFFFFF"/>
      </a:lt1>
      <a:dk2>
        <a:srgbClr val="44546A"/>
      </a:dk2>
      <a:lt2>
        <a:srgbClr val="E7E6E6"/>
      </a:lt2>
      <a:accent1>
        <a:srgbClr val="002D3F"/>
      </a:accent1>
      <a:accent2>
        <a:srgbClr val="6EC6AA"/>
      </a:accent2>
      <a:accent3>
        <a:srgbClr val="008276"/>
      </a:accent3>
      <a:accent4>
        <a:srgbClr val="C8531F"/>
      </a:accent4>
      <a:accent5>
        <a:srgbClr val="F26322"/>
      </a:accent5>
      <a:accent6>
        <a:srgbClr val="B6006A"/>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02C9804508E848925AE7F7B9687CB2" ma:contentTypeVersion="10" ma:contentTypeDescription="Create a new document." ma:contentTypeScope="" ma:versionID="69bcb152a56893ebeae2acca7ad5e195">
  <xsd:schema xmlns:xsd="http://www.w3.org/2001/XMLSchema" xmlns:xs="http://www.w3.org/2001/XMLSchema" xmlns:p="http://schemas.microsoft.com/office/2006/metadata/properties" xmlns:ns3="c0fd65f7-4e73-4983-bb21-592ea7224115" targetNamespace="http://schemas.microsoft.com/office/2006/metadata/properties" ma:root="true" ma:fieldsID="92d608cf293e0cd7f94ea42e9076e6a9" ns3:_="">
    <xsd:import namespace="c0fd65f7-4e73-4983-bb21-592ea72241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d65f7-4e73-4983-bb21-592ea7224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2.xml><?xml version="1.0" encoding="utf-8"?>
<ds:datastoreItem xmlns:ds="http://schemas.openxmlformats.org/officeDocument/2006/customXml" ds:itemID="{A6CD6226-3EAF-46C5-B0F2-A2410F074527}">
  <ds:schemaRefs>
    <ds:schemaRef ds:uri="http://purl.org/dc/terms/"/>
    <ds:schemaRef ds:uri="c0fd65f7-4e73-4983-bb21-592ea7224115"/>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F93355B1-63D6-46F1-A23A-289BFA6C1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d65f7-4e73-4983-bb21-592ea7224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985B0E-62A0-4B81-B8FD-46C64C82E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Factsheet Template.dotx</Template>
  <TotalTime>1</TotalTime>
  <Pages>7</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VIE,Leroy</dc:creator>
  <cp:keywords/>
  <dc:description/>
  <cp:lastModifiedBy>MANNIE,Ryan</cp:lastModifiedBy>
  <cp:revision>2</cp:revision>
  <cp:lastPrinted>2020-11-08T23:45:00Z</cp:lastPrinted>
  <dcterms:created xsi:type="dcterms:W3CDTF">2020-12-10T05:39:00Z</dcterms:created>
  <dcterms:modified xsi:type="dcterms:W3CDTF">2020-12-10T05:39:00Z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0x0101001F02C9804508E848925AE7F7B9687CB2</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ies>
</file>