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are a teacher, access the resources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rtl w:val="0"/>
        </w:rPr>
        <w:t xml:space="preserve"> to foster</w:t>
      </w:r>
      <w:r w:rsidDel="00000000" w:rsidR="00000000" w:rsidRPr="00000000">
        <w:rPr>
          <w:rtl w:val="0"/>
        </w:rPr>
        <w:t xml:space="preserve"> your students’ educations.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you are a parent, discover the information </w:t>
      </w:r>
      <w:r w:rsidDel="00000000" w:rsidR="00000000" w:rsidRPr="00000000">
        <w:rPr>
          <w:rtl w:val="0"/>
        </w:rPr>
        <w:t xml:space="preserve">you need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 your children’s education.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you are a student, view resources to </w:t>
      </w:r>
      <w:r w:rsidDel="00000000" w:rsidR="00000000" w:rsidRPr="00000000">
        <w:rPr>
          <w:rtl w:val="0"/>
        </w:rPr>
        <w:t xml:space="preserve">enhance</w:t>
      </w:r>
      <w:r w:rsidDel="00000000" w:rsidR="00000000" w:rsidRPr="00000000">
        <w:rPr>
          <w:rtl w:val="0"/>
        </w:rPr>
        <w:t xml:space="preserve"> your education.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Learn about the Department of Education’s mission and operations.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