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F3864"/>
          <w:sz w:val="48"/>
          <w:szCs w:val="48"/>
        </w:rPr>
        <w:t xml:space="preserve">Legal Issues Summary</w:t>
      </w:r>
    </w:p>
    <w:p>
      <w:pPr>
        <w:spacing w:after="200"/>
      </w:pPr>
    </w:p>
    <w:p>
      <w:pPr>
        <w:jc w:val="center"/>
      </w:pPr>
      <w:r>
        <w:rPr>
          <w:rFonts w:ascii="Arial" w:cs="Arial" w:eastAsia="Arial" w:hAnsi="Arial"/>
          <w:i/>
          <w:iCs/>
          <w:color w:val="808080"/>
          <w:sz w:val="24"/>
          <w:szCs w:val="24"/>
        </w:rPr>
        <w:t xml:space="preserve">A record of systemic failures and ongoing struggles</w:t>
      </w:r>
    </w:p>
    <w:p>
      <w:pPr>
        <w:spacing w:before="600"/>
        <w:jc w:val="center"/>
      </w:pPr>
      <w:r>
        <w:rPr>
          <w:rFonts w:ascii="Arial" w:cs="Arial" w:eastAsia="Arial" w:hAnsi="Arial"/>
          <w:color w:val="404040"/>
          <w:sz w:val="28"/>
          <w:szCs w:val="28"/>
        </w:rPr>
        <w:t xml:space="preserve">Richard L. Stebbins Jr.</w:t>
      </w:r>
    </w:p>
    <w:p>
      <w:pPr>
        <w:spacing w:before="200"/>
        <w:jc w:val="center"/>
      </w:pPr>
      <w:r>
        <w:rPr>
          <w:rFonts w:ascii="Arial" w:cs="Arial" w:eastAsia="Arial" w:hAnsi="Arial"/>
          <w:color w:val="A0A0A0"/>
          <w:sz w:val="20"/>
          <w:szCs w:val="20"/>
        </w:rPr>
        <w:t xml:space="preserve">Generated from Memory Ark • March 16, 2026</w:t>
      </w:r>
    </w:p>
    <w:p>
      <w:r>
        <w:br w:type="page"/>
      </w:r>
    </w:p>
    <w:p>
      <w:pPr>
        <w:pStyle w:val="Heading1"/>
      </w:pPr>
      <w:r>
        <w:t xml:space="preserve">Overview</w:t>
      </w:r>
    </w:p>
    <w:p>
      <w:pPr>
        <w:spacing w:after="160" w:line="276"/>
      </w:pPr>
      <w:r>
        <w:t xml:space="preserve">Ricky Stebbins has been entangled in the Massachusetts legal system since 2013. His experiences span two major criminal cases, an assault he was the victim of, and an extensive pattern of complaints filed against institutions at the local, state, and federal levels. Throughout these events, Ricky has documented every interaction, preserved audio recordings of court proceedings, and compiled evidence that he believes demonstrates coordinated institutional failures rather than isolated incidents.</w:t>
      </w:r>
    </w:p>
    <w:p>
      <w:pPr>
        <w:pStyle w:val="Heading2"/>
      </w:pPr>
      <w:r>
        <w:t xml:space="preserve">Case 1: The 2013 Walmart Parking Lot Hit-and-Run</w:t>
      </w:r>
    </w:p>
    <w:p>
      <w:pPr>
        <w:spacing w:after="160" w:line="276"/>
      </w:pPr>
      <w:r>
        <w:t xml:space="preserve">In 2013, Ricky was struck by a car while walking through a Walmart parking lot in Springfield, Massachusetts. Despite being the injured party, responding officers denied him medical attention at the scene. The case went to trial, and Ricky represented himself without legal counsel. He was found guilty.</w:t>
      </w:r>
    </w:p>
    <w:p>
      <w:pPr>
        <w:spacing w:after="160" w:line="276"/>
      </w:pPr>
      <w:r>
        <w:t xml:space="preserve">In the aftermath, Ricky discovered what he describes as mishandling at multiple levels. The officers involved were Thomas Sheehan and Thomas Douglas. The prosecutor was Assistant District Attorney Katherine Johnston, with involvement from Edward Kavari. The presiding judge was Bildo Hadley, and the court’s head clerk was Jon Gay. Several attorneys either mishandled his case or refused to represent him, including Randy Milo, Eric Applebaum, Anna Levine, John Nolan, and Elaine Pourinski.</w:t>
      </w:r>
    </w:p>
    <w:p>
      <w:pPr>
        <w:spacing w:after="160" w:line="276"/>
      </w:pPr>
      <w:r>
        <w:t xml:space="preserve">Ricky submitted complaints to numerous oversight bodies: the Massachusetts State Police, the FBI, the Massachusetts Attorney General’s Office, the U.S. Department of Justice, the Governor’s Office, and the Board of Bar Overseers. According to his records, none of these institutions took corrective action.</w:t>
      </w:r>
    </w:p>
    <w:p>
      <w:pPr>
        <w:pStyle w:val="Heading2"/>
      </w:pPr>
      <w:r>
        <w:t xml:space="preserve">Case 2: The 2021 Assault Accusation (Dismissed 2024)</w:t>
      </w:r>
    </w:p>
    <w:p>
      <w:pPr>
        <w:spacing w:after="160" w:line="276"/>
      </w:pPr>
      <w:r>
        <w:t xml:space="preserve">In October 2021, Ricky was accused of assault. What followed was a three-and-a-half-year ordeal involving multiple appointed attorneys, each of whom Ricky says failed him in different ways.</w:t>
      </w:r>
    </w:p>
    <w:p>
      <w:pPr>
        <w:spacing w:after="160" w:line="276"/>
      </w:pPr>
      <w:r>
        <w:t xml:space="preserve">Attorney Roger Banks was first appointed and, according to Ricky, laughed off serious claims of disabled-person abuse within a household connected to the case. Attorney O’Doherty followed and allegedly attempted a trial by surprise, pushing for proceedings before Ricky had proper access to case materials. Attorney Bergo then stalled the case for months and ordered what Ricky considers a baseless competency evaluation (conducted in 2024), further delaying the defense.</w:t>
      </w:r>
    </w:p>
    <w:p>
      <w:pPr>
        <w:spacing w:after="160" w:line="276"/>
      </w:pPr>
      <w:r>
        <w:t xml:space="preserve">During this period, Ricky submitted formal requests to preserve police body camera and dash cam footage. He alleges that ADA White misrepresented the availability of this evidence in court and actively obstructed access to footage retention policies. Attorney McGinty, assigned later, failed to challenge these procedural violations. Attorney Grady, the final appointed counsel, treated the case dismissively.</w:t>
      </w:r>
    </w:p>
    <w:p>
      <w:pPr>
        <w:spacing w:after="160" w:line="276"/>
      </w:pPr>
      <w:r>
        <w:t xml:space="preserve">The charges were ultimately dismissed only after Ricky personally uncovered physical evidence that confirmed his account. At no point during the three-and-a-half years did any of his legal representatives uncover this evidence themselves.</w:t>
      </w:r>
    </w:p>
    <w:p>
      <w:pPr>
        <w:pStyle w:val="Heading2"/>
      </w:pPr>
      <w:r>
        <w:t xml:space="preserve">Case 3: The April 2025 Assault on Fox Road</w:t>
      </w:r>
    </w:p>
    <w:p>
      <w:pPr>
        <w:spacing w:after="160" w:line="276"/>
      </w:pPr>
      <w:r>
        <w:t xml:space="preserve">On April 4, 2025, Ricky was walking with his bicycle near Grayson Drive and Fox Road in Springfield when a man identified as Cornelius Tyson jumped out of a wooded area, yelled racial slurs and death threats, threw Ricky’s bicycle, and shined a light in his eyes while threatening to stab and shoot him. Ricky drew a pocket knife in self-defense but no physical contact occurred. Springfield Police filed a report (Incident #25-3645-OF), and Officer Mickiewicz activated his body-worn camera. Officers canvassed the area but did not locate Tyson.</w:t>
      </w:r>
    </w:p>
    <w:p>
      <w:pPr>
        <w:spacing w:after="160" w:line="276"/>
      </w:pPr>
      <w:r>
        <w:t xml:space="preserve">As of Ricky’s last documentation, the resolution of this case remains unclear in his files. He has noted questions about follow-up and whether a summary was ever completed.</w:t>
      </w:r>
    </w:p>
    <w:p>
      <w:pPr>
        <w:pStyle w:val="Heading2"/>
      </w:pPr>
      <w:r>
        <w:t xml:space="preserve">Complaints Filed (2025–2026)</w:t>
      </w:r>
    </w:p>
    <w:p>
      <w:pPr>
        <w:spacing w:after="160" w:line="276"/>
      </w:pPr>
      <w:r>
        <w:t xml:space="preserve">Ricky has filed formal complaints with a wide range of agencies. These include the Massachusetts Division of Insurance, the U.S. Department of Justice Civil Rights Division, the Center for Public Representation, the Disability Law Center of Massachusetts, the National Disabled Rights Network, the Attorney General’s Office, the Governor’s Office, the FBI, the ACLU (twice), the Hampden County and Worcester County District Attorney’s Offices, the Massachusetts Division of Healthcare Quality, the Joint Commission, the State Auditor, the Board of Bar Council (regarding ADA White), the Office of the Inspector General, and the U.S. Department of Health and Human Services.</w:t>
      </w:r>
    </w:p>
    <w:p>
      <w:pPr>
        <w:spacing w:after="160" w:line="276"/>
      </w:pPr>
      <w:r>
        <w:t xml:space="preserve">He also prepared a Victim Witness Statement and a Conflict of Interest Affidavit, both composed with AI assistance and submitted to DA Gulluni’s office. As of November 2025, Ricky reported that no one had acknowledged his statement, that staff seemed confused on the phone, and that his emails were being ignored.</w:t>
      </w:r>
    </w:p>
    <w:p>
      <w:pPr>
        <w:pStyle w:val="Heading2"/>
      </w:pPr>
      <w:r>
        <w:t xml:space="preserve">Commonwealth Care Alliance (CCA) Failures</w:t>
      </w:r>
    </w:p>
    <w:p>
      <w:pPr>
        <w:spacing w:after="160" w:line="276"/>
      </w:pPr>
      <w:r>
        <w:t xml:space="preserve">Ricky has documented what he describes as a pattern of negligence by Commonwealth Care Alliance, his health insurance provider. CCA allegedly delayed or denied care approvals during critical mental health episodes, failed to follow up on referrals, and ignored multiple requests for assistance. He reports that CCA offered no meaningful coordination between providers and treated urgent psychiatric situations like routine paperwork, leaving him to manage complex medical and legal crises without institutional support.</w:t>
      </w:r>
    </w:p>
    <w:p>
      <w:pPr>
        <w:pStyle w:val="Heading2"/>
      </w:pPr>
      <w:r>
        <w:t xml:space="preserve">Advocacy for Others</w:t>
      </w:r>
    </w:p>
    <w:p>
      <w:pPr>
        <w:spacing w:after="160" w:line="276"/>
      </w:pPr>
      <w:r>
        <w:t xml:space="preserve">Drawing on his own experience navigating the system, Ricky has begun helping other people document their legal and institutional struggles. He has created public blog pages for at least four individuals: Dallas F., Brandon B., Becca Ray, and Becky M. Each page hosts their stories and evidence in the same format Ricky uses for his own Memory Ark.</w:t>
      </w:r>
    </w:p>
    <w:p>
      <w:pPr>
        <w:pStyle w:val="Heading1"/>
      </w:pPr>
      <w:r>
        <w:t xml:space="preserve">Assessment of the Legal Files</w:t>
      </w:r>
    </w:p>
    <w:p>
      <w:pPr>
        <w:spacing w:after="160" w:line="276"/>
      </w:pPr>
      <w:r>
        <w:t xml:space="preserve">The legal documentation in your Memory Ark is among its strongest sections. The Legal Index is well-organized with clear case descriptions, named individuals, and links to supporting blog posts. The 4-Legal file folder contains approximately 70 dated subfolders spanning 2013–2025 with court transcripts, police reports, audio recordings, and attorney correspondence.</w:t>
      </w:r>
    </w:p>
    <w:p>
      <w:pPr>
        <w:spacing w:after="160" w:line="276"/>
      </w:pPr>
      <w:r>
        <w:t xml:space="preserve">Gaps worth noting: the 2025 Fox Road assault folder has placeholder files asking for a summary that hasn’t been written yet. The 2026 legal folder is empty. Some folders contain evidence (PDFs, images, audio) but lack written context explaining what the evidence shows. Adding brief narrative summaries to each evidence folder would strengthen the archive considerably.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2026-03-16T20:19:53.387Z</dcterms:created>
  <dcterms:modified xsi:type="dcterms:W3CDTF">2026-03-16T20:19:53.387Z</dcterms:modified>
</cp:coreProperties>
</file>

<file path=docProps/custom.xml><?xml version="1.0" encoding="utf-8"?>
<Properties xmlns="http://schemas.openxmlformats.org/officeDocument/2006/custom-properties" xmlns:vt="http://schemas.openxmlformats.org/officeDocument/2006/docPropsVTypes"/>
</file>