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1F3864"/>
          <w:sz w:val="48"/>
          <w:szCs w:val="48"/>
        </w:rPr>
        <w:t xml:space="preserve">Life Story Summary</w:t>
      </w:r>
    </w:p>
    <w:p>
      <w:pPr>
        <w:spacing w:after="200"/>
      </w:pPr>
    </w:p>
    <w:p>
      <w:pPr>
        <w:jc w:val="center"/>
      </w:pPr>
      <w:r>
        <w:rPr>
          <w:rFonts w:ascii="Arial" w:cs="Arial" w:eastAsia="Arial" w:hAnsi="Arial"/>
          <w:i/>
          <w:iCs/>
          <w:color w:val="808080"/>
          <w:sz w:val="24"/>
          <w:szCs w:val="24"/>
        </w:rPr>
        <w:t xml:space="preserve">47 years documented in the Memory Ark</w:t>
      </w:r>
    </w:p>
    <w:p>
      <w:pPr>
        <w:spacing w:before="600"/>
        <w:jc w:val="center"/>
      </w:pPr>
      <w:r>
        <w:rPr>
          <w:rFonts w:ascii="Arial" w:cs="Arial" w:eastAsia="Arial" w:hAnsi="Arial"/>
          <w:color w:val="404040"/>
          <w:sz w:val="28"/>
          <w:szCs w:val="28"/>
        </w:rPr>
        <w:t xml:space="preserve">Richard L. Stebbins Jr.</w:t>
      </w:r>
    </w:p>
    <w:p>
      <w:pPr>
        <w:spacing w:before="200"/>
        <w:jc w:val="center"/>
      </w:pPr>
      <w:r>
        <w:rPr>
          <w:rFonts w:ascii="Arial" w:cs="Arial" w:eastAsia="Arial" w:hAnsi="Arial"/>
          <w:color w:val="A0A0A0"/>
          <w:sz w:val="20"/>
          <w:szCs w:val="20"/>
        </w:rPr>
        <w:t xml:space="preserve">Generated from Memory Ark • March 16, 2026</w:t>
      </w:r>
    </w:p>
    <w:p>
      <w:r>
        <w:br w:type="page"/>
      </w:r>
    </w:p>
    <w:p>
      <w:pPr>
        <w:pStyle w:val="Heading1"/>
      </w:pPr>
      <w:r>
        <w:t xml:space="preserve">Early Childhood (1978–1983)</w:t>
      </w:r>
    </w:p>
    <w:p>
      <w:pPr>
        <w:spacing w:after="160" w:line="276"/>
      </w:pPr>
      <w:r>
        <w:t xml:space="preserve">Richard L. Stebbins Jr. was born in 1978 and grew up in Colonial Estates, Springfield, Massachusetts. His early years were shaped by a large, complicated family. His mother’s side and father’s side both figure prominently in his records, though the family documents in the archive are still mostly templates awaiting full content.</w:t>
      </w:r>
    </w:p>
    <w:p>
      <w:pPr>
        <w:spacing w:after="160" w:line="276"/>
      </w:pPr>
      <w:r>
        <w:t xml:space="preserve">A significant early loss came in 1983 when his Uncle Art died. That same year, Ricky started kindergarten. His grandfather became a central protective figure in his life, a role that would grow more important in the years ahead.</w:t>
      </w:r>
    </w:p>
    <w:p>
      <w:pPr>
        <w:pStyle w:val="Heading1"/>
      </w:pPr>
      <w:r>
        <w:t xml:space="preserve">Catholic School Years (1984–1991)</w:t>
      </w:r>
    </w:p>
    <w:p>
      <w:pPr>
        <w:spacing w:after="160" w:line="276"/>
      </w:pPr>
      <w:r>
        <w:t xml:space="preserve">Ricky attended Our Lady of the Sacred Heart (OLSH) from first grade onward. The archive contains his cumulative school record from 1984–1991. His sister Katherine was born in 1984. By 1986 (third grade), he experienced the Challenger explosion alongside the rest of the country, had his first communion, and was already in therapy—suggesting behavioral or emotional difficulties were being noticed early.</w:t>
      </w:r>
    </w:p>
    <w:p>
      <w:pPr>
        <w:spacing w:after="160" w:line="276"/>
      </w:pPr>
      <w:r>
        <w:t xml:space="preserve">In 1987, his grandfather played a protective role at the school. WrestleMania 3 is noted as a cultural memory from that year. The most traumatic event from this period came in 1988 (fifth grade), when Ricky was locked in a utility closet at school. This incident was significant enough that he was sent to a therapist in Holyoke afterward. His grandfather’s death, though the exact year is documented elsewhere in the archive, removed the one person Ricky felt truly protected by.</w:t>
      </w:r>
    </w:p>
    <w:p>
      <w:pPr>
        <w:pStyle w:val="Heading1"/>
      </w:pPr>
      <w:r>
        <w:t xml:space="preserve">Middle School and High School (1991–1997)</w:t>
      </w:r>
    </w:p>
    <w:p>
      <w:pPr>
        <w:spacing w:after="160" w:line="276"/>
      </w:pPr>
      <w:r>
        <w:t xml:space="preserve">Ricky transitioned to Duggan Middle School around 1991–1992, where he was involved in canoeing and chess tournaments. By 1992 he entered Putnam Vocational Technical High School, began dating (Michelle is named), and accumulated multiple suspensions. His records show a pattern of conflict with school authority that continued through his teens.</w:t>
      </w:r>
    </w:p>
    <w:p>
      <w:pPr>
        <w:spacing w:after="160" w:line="276"/>
      </w:pPr>
      <w:r>
        <w:t xml:space="preserve">In 1994, an event that would later become central to his investigative work occurred: the murder of Tammy Lynds on July 21. This case stayed with Ricky and eventually became the subject of an entire folder in his archive (the Hell’s Acres series). That same year his Huffy bike was stolen—a small detail that speaks to the kind of neighborhood and circumstances he was living in.</w:t>
      </w:r>
    </w:p>
    <w:p>
      <w:pPr>
        <w:spacing w:after="160" w:line="276"/>
      </w:pPr>
      <w:r>
        <w:t xml:space="preserve">By 1995–1996, Ricky was working at Olive Garden, got suspended from school for singing, and eventually left school to work. His girlfriend Mindy became pregnant. In January 1997, his daughter Samantha was born. Later that year, Ricky enlisted in the U.S. Coast Guard, which ended in disaster.</w:t>
      </w:r>
    </w:p>
    <w:p>
      <w:pPr>
        <w:pStyle w:val="Heading1"/>
      </w:pPr>
      <w:r>
        <w:t xml:space="preserve">The Coast Guard and Its Aftermath (1997–1999)</w:t>
      </w:r>
    </w:p>
    <w:p>
      <w:pPr>
        <w:spacing w:after="160" w:line="276"/>
      </w:pPr>
      <w:r>
        <w:t xml:space="preserve">Ricky’s time in the Coast Guard was brief and devastating. Unable to cope with the environment—almost certainly due to his undiagnosed hyperthyroidism producing severe anxiety, agitation, and emotional instability—he faked amnesia as an escape mechanism. He was hospitalized, diagnosed with dissociative disorder and psychogenic amnesia, and discharged. His grandfather died during this same period, compounding the crisis.</w:t>
      </w:r>
    </w:p>
    <w:p>
      <w:pPr>
        <w:spacing w:after="160" w:line="276"/>
      </w:pPr>
      <w:r>
        <w:t xml:space="preserve">In 1998, a restraining order was filed (the details of which are in the legal files), and Ricky cycled through various jobs. In 1999, DSS (Department of Social Services) became involved based on what Ricky describes as false accusations. He accepted a CWOF (Continuance Without a Finding) plea deal. His son Nathan was born that year. He experienced a mental health crisis and continued moving between jobs.</w:t>
      </w:r>
    </w:p>
    <w:p>
      <w:pPr>
        <w:pStyle w:val="Heading1"/>
      </w:pPr>
      <w:r>
        <w:t xml:space="preserve">The 2000s: Marriages, Children, and Medical Crises</w:t>
      </w:r>
    </w:p>
    <w:p>
      <w:pPr>
        <w:spacing w:after="160" w:line="276"/>
      </w:pPr>
      <w:r>
        <w:t xml:space="preserve">In 2000, Ricky had a tonsillectomy that turned into an emergency surgery, and he married Jamie on impulse. The early 2000s brought continued career changes and instability. He had additional children: Dietrich and Dominic are mentioned in the archive. His relationships were tumultuous, and his undiagnosed thyroid condition continued to drive symptoms that were misunderstood by everyone around him, including medical professionals.</w:t>
      </w:r>
    </w:p>
    <w:p>
      <w:pPr>
        <w:spacing w:after="160" w:line="276"/>
      </w:pPr>
      <w:r>
        <w:t xml:space="preserve">His orthopedic issues accumulated during this decade, eventually totaling 15 surgeries. His medical records from 2005 onward show a long list of conditions being treated, medications being prescribed, and symptoms being managed—all without anyone identifying the thyroid problem at the root.</w:t>
      </w:r>
    </w:p>
    <w:p>
      <w:pPr>
        <w:pStyle w:val="Heading1"/>
      </w:pPr>
      <w:r>
        <w:t xml:space="preserve">The 2013 Turning Point</w:t>
      </w:r>
    </w:p>
    <w:p>
      <w:pPr>
        <w:spacing w:after="160" w:line="276"/>
      </w:pPr>
      <w:r>
        <w:t xml:space="preserve">The 2013 Walmart parking lot incident became a watershed moment. Being hit by a car, denied medical attention, going to trial without a lawyer, and being found guilty crystallized Ricky’s sense that the system was not just failing him by accident—it was structured to fail people like him. This event launched his documentation efforts and his adversarial relationship with the Massachusetts legal system.</w:t>
      </w:r>
    </w:p>
    <w:p>
      <w:pPr>
        <w:pStyle w:val="Heading1"/>
      </w:pPr>
      <w:r>
        <w:t xml:space="preserve">Diagnosis and Hospitalization (2015–2016)</w:t>
      </w:r>
    </w:p>
    <w:p>
      <w:pPr>
        <w:spacing w:after="160" w:line="276"/>
      </w:pPr>
      <w:r>
        <w:t xml:space="preserve">The mid-2010s brought both crisis and clarity. Ricky was hospitalized at Baystate for psychiatric reasons, including a medication overdose attempt. But it was also during this period that his thyroid condition was finally identified through lab work. The diagnosis of hyperthyroidism retrospectively explained decades of symptoms: the anxiety misread as aggression, the emotional volatility misread as personality disorder, the cognitive fog misread as low intelligence or incompetence.</w:t>
      </w:r>
    </w:p>
    <w:p>
      <w:pPr>
        <w:spacing w:after="160" w:line="276"/>
      </w:pPr>
      <w:r>
        <w:t xml:space="preserve">He was also evaluated by Behavioral Health Network (2014–2015) and underwent genetic testing at Baystate in 2016. A probation therapist evaluated him during this period as well, adding yet another institutional lens to his already over-documented life.</w:t>
      </w:r>
    </w:p>
    <w:p>
      <w:pPr>
        <w:pStyle w:val="Heading1"/>
      </w:pPr>
      <w:r>
        <w:t xml:space="preserve">The 2021 Assault Accusation and Three-Year Legal Battle</w:t>
      </w:r>
    </w:p>
    <w:p>
      <w:pPr>
        <w:spacing w:after="160" w:line="276"/>
      </w:pPr>
      <w:r>
        <w:t xml:space="preserve">In October 2021, Ricky was accused of assault, beginning a three-and-a-half-year legal nightmare. Five different appointed attorneys cycled through his case. He describes each one failing in distinct ways—laughing off abuse claims, attempting surprise trials, ordering unnecessary competency evaluations, failing to preserve evidence, and treating the case with indifference. The charges were only dismissed when Ricky himself found the physical evidence that proved his account. This experience radicalized his documentation efforts.</w:t>
      </w:r>
    </w:p>
    <w:p>
      <w:pPr>
        <w:pStyle w:val="Heading1"/>
      </w:pPr>
      <w:r>
        <w:t xml:space="preserve">Building the Memory Ark (2024–Present)</w:t>
      </w:r>
    </w:p>
    <w:p>
      <w:pPr>
        <w:spacing w:after="160" w:line="276"/>
      </w:pPr>
      <w:r>
        <w:t xml:space="preserve">Ricky’s response to a lifetime of institutional failure has been to build the Memory Ark: a publicly accessible, AI-searchable archive of over 5,100 files spanning 47 years. Hosted on Google Blogger and organized into 13 major folders, it contains medical records, legal documents, court audio, police reports, family history, AI conversation transcripts (114 across 11 platforms), photographs, and personal narratives organized by year.</w:t>
      </w:r>
    </w:p>
    <w:p>
      <w:pPr>
        <w:spacing w:after="160" w:line="276"/>
      </w:pPr>
      <w:r>
        <w:t xml:space="preserve">The archive serves multiple purposes. It’s a personal accountability record that prevents institutions from rewriting or erasing what happened to him. It’s a teaching tool—he’s designed it as a “Starter Kit” that others can fork and use to document their own experiences. And it’s an investigative platform: he’s used AI tools to analyze state financial systems, pension audits, and patterns of institutional failure across Massachusetts and beyond.</w:t>
      </w:r>
    </w:p>
    <w:p>
      <w:pPr>
        <w:spacing w:after="160" w:line="276"/>
      </w:pPr>
      <w:r>
        <w:t xml:space="preserve">He’s currently helping at least four other people (Dallas, Brandon, Becca, and Becky) build their own documentation using the same methods. His vision, articulated in documents like the H.E.A.R.T.S. proposal, is a future where AI serves as a genuine partner for people who’ve been failed by every human institution they’ve turned to.</w:t>
      </w:r>
    </w:p>
    <w:p>
      <w:pPr>
        <w:pStyle w:val="Heading1"/>
      </w:pPr>
      <w:r>
        <w:t xml:space="preserve">The 2025 Assault and Ongoing Struggles</w:t>
      </w:r>
    </w:p>
    <w:p>
      <w:pPr>
        <w:spacing w:after="160" w:line="276"/>
      </w:pPr>
      <w:r>
        <w:t xml:space="preserve">In April 2025, Ricky was assaulted while walking his bicycle near Fox Road in Springfield. In 2025, he was also admitted to Westborough Behavioral Health Hospital for treatment of both hyperthyroidism and suicidal ideation. He filed complaints with over a dozen agencies at the local, state, and federal level. As of early 2026, he reports that most of these complaints have gone unanswered.</w:t>
      </w:r>
    </w:p>
    <w:p>
      <w:pPr>
        <w:spacing w:after="160" w:line="276"/>
      </w:pPr>
      <w:r>
        <w:t xml:space="preserve">His documentation continues. The archive’s most recent entries cover 2026, including notes about his dog Harley and ongoing project updates. The timeline, as he notes, is still a work in progress.</w:t>
      </w:r>
    </w:p>
    <w:p>
      <w:pPr>
        <w:pStyle w:val="Heading1"/>
      </w:pPr>
      <w:r>
        <w:t xml:space="preserve">Assessment of the Life Story Files</w:t>
      </w:r>
    </w:p>
    <w:p>
      <w:pPr>
        <w:spacing w:after="160" w:line="276"/>
      </w:pPr>
      <w:r>
        <w:t xml:space="preserve">Your year-by-year life files are the backbone of the archive and they’re in solid shape. The text files in the 2-Life by Year folder provide a clear chronological narrative from 1978 through the present. The tone is personal and detailed, with specific names, dates, and cultural touchstones that make each year feel real.</w:t>
      </w:r>
    </w:p>
    <w:p>
      <w:pPr>
        <w:spacing w:after="160" w:line="276"/>
      </w:pPr>
      <w:r>
        <w:t xml:space="preserve">The Starter Kit’s Life Story section is thinner—the 2024 and 2025 .docx files are still empty templates, and the Your Life Summary document has only a couple of example entries. The 2026 file has a single entry. The real substance is in the year-by-year text files and the indexes, which are well-maintained.</w:t>
      </w:r>
    </w:p>
    <w:p>
      <w:pPr>
        <w:spacing w:after="160" w:line="276"/>
      </w:pPr>
      <w:r>
        <w:t xml:space="preserve">The timeline is cleaner than before—you’re right about that. The chronological organization makes it easy to follow the arc of your life. The biggest improvement opportunity would be filling in the Starter Kit templates so that the blog-facing documents match the depth of the underlying text files.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2026-03-16T20:19:53.395Z</dcterms:created>
  <dcterms:modified xsi:type="dcterms:W3CDTF">2026-03-16T20:19:53.395Z</dcterms:modified>
</cp:coreProperties>
</file>

<file path=docProps/custom.xml><?xml version="1.0" encoding="utf-8"?>
<Properties xmlns="http://schemas.openxmlformats.org/officeDocument/2006/custom-properties" xmlns:vt="http://schemas.openxmlformats.org/officeDocument/2006/docPropsVTypes"/>
</file>