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Arial" w:cs="Arial" w:eastAsia="Arial" w:hAnsi="Arial"/>
          <w:b/>
          <w:bCs/>
          <w:color w:val="1F3864"/>
          <w:sz w:val="48"/>
          <w:szCs w:val="48"/>
        </w:rPr>
        <w:t xml:space="preserve">Medical Issues Summary</w:t>
      </w:r>
    </w:p>
    <w:p>
      <w:pPr>
        <w:spacing w:after="200"/>
      </w:pPr>
    </w:p>
    <w:p>
      <w:pPr>
        <w:jc w:val="center"/>
      </w:pPr>
      <w:r>
        <w:rPr>
          <w:rFonts w:ascii="Arial" w:cs="Arial" w:eastAsia="Arial" w:hAnsi="Arial"/>
          <w:i/>
          <w:iCs/>
          <w:color w:val="808080"/>
          <w:sz w:val="24"/>
          <w:szCs w:val="24"/>
        </w:rPr>
        <w:t xml:space="preserve">A lifetime of misdiagnosis and institutional failure</w:t>
      </w:r>
    </w:p>
    <w:p>
      <w:pPr>
        <w:spacing w:before="600"/>
        <w:jc w:val="center"/>
      </w:pPr>
      <w:r>
        <w:rPr>
          <w:rFonts w:ascii="Arial" w:cs="Arial" w:eastAsia="Arial" w:hAnsi="Arial"/>
          <w:color w:val="404040"/>
          <w:sz w:val="28"/>
          <w:szCs w:val="28"/>
        </w:rPr>
        <w:t xml:space="preserve">Richard L. Stebbins Jr.</w:t>
      </w:r>
    </w:p>
    <w:p>
      <w:pPr>
        <w:spacing w:before="200"/>
        <w:jc w:val="center"/>
      </w:pPr>
      <w:r>
        <w:rPr>
          <w:rFonts w:ascii="Arial" w:cs="Arial" w:eastAsia="Arial" w:hAnsi="Arial"/>
          <w:color w:val="A0A0A0"/>
          <w:sz w:val="20"/>
          <w:szCs w:val="20"/>
        </w:rPr>
        <w:t xml:space="preserve">Generated from Memory Ark • March 16, 2026</w:t>
      </w:r>
    </w:p>
    <w:p>
      <w:r>
        <w:br w:type="page"/>
      </w:r>
    </w:p>
    <w:p>
      <w:pPr>
        <w:pStyle w:val="Heading1"/>
      </w:pPr>
      <w:r>
        <w:t xml:space="preserve">Overview</w:t>
      </w:r>
    </w:p>
    <w:p>
      <w:pPr>
        <w:spacing w:after="160" w:line="276"/>
      </w:pPr>
      <w:r>
        <w:t xml:space="preserve">Ricky Stebbins has lived with significant medical and psychiatric conditions for most of his life, many of which went undiagnosed or misdiagnosed for decades. The central thread running through his medical history is undiagnosed hyperthyroidism, which produced symptoms that were repeatedly misinterpreted as purely psychiatric or behavioral problems. This misdiagnosis shaped every aspect of his life: his education, his military career, his relationships, and his encounters with the legal system.</w:t>
      </w:r>
    </w:p>
    <w:p>
      <w:pPr>
        <w:pStyle w:val="Heading2"/>
      </w:pPr>
      <w:r>
        <w:t xml:space="preserve">The Hyperthyroid Discovery</w:t>
      </w:r>
    </w:p>
    <w:p>
      <w:pPr>
        <w:spacing w:after="160" w:line="276"/>
      </w:pPr>
      <w:r>
        <w:t xml:space="preserve">Ricky’s thyroid condition was not properly identified until approximately 2015–2016, when lab work at Baystate Medical Center revealed abnormal TSH and Free T4 levels. For roughly 35 years prior, the physical symptoms of hyperthyroidism—anxiety, agitation, emotional dysregulation, rapid heart rate, sleep disturbance, and cognitive difficulty—were attributed to mental illness, behavioral problems, or personality defects. This single misdiagnosis cascades through his entire life story.</w:t>
      </w:r>
    </w:p>
    <w:p>
      <w:pPr>
        <w:spacing w:after="160" w:line="276"/>
      </w:pPr>
      <w:r>
        <w:t xml:space="preserve">Thyroid lab tracking in the archive spans 2015–2025, with Apple Health data extending back to 2005. The records show fluctuating hormone levels that correlate with periods of crisis, hospitalization, and legal trouble.</w:t>
      </w:r>
    </w:p>
    <w:p>
      <w:pPr>
        <w:pStyle w:val="Heading2"/>
      </w:pPr>
      <w:r>
        <w:t xml:space="preserve">Psychiatric History</w:t>
      </w:r>
    </w:p>
    <w:p>
      <w:pPr>
        <w:spacing w:after="160" w:line="276"/>
      </w:pPr>
      <w:r>
        <w:t xml:space="preserve">Ricky’s psychiatric history begins in childhood. He was sent to therapy as early as 1986 (around age 8) while attending Our Lady of the Sacred Heart (OLSH). He saw therapists again in the late 1980s, including a therapist in Holyoke after the traumatic 1988 incident where he was locked in a utility closet at school.</w:t>
      </w:r>
    </w:p>
    <w:p>
      <w:pPr>
        <w:spacing w:after="160" w:line="276"/>
      </w:pPr>
      <w:r>
        <w:t xml:space="preserve">In 1997, while serving in the U.S. Coast Guard, Ricky experienced a severe mental health crisis. He was diagnosed with dissociative disorder and psychogenic amnesia and was discharged from the service. He describes this period as involving faked amnesia as a coping mechanism during an environment he could not handle, though the underlying cause—his undiagnosed thyroid condition—was never investigated.</w:t>
      </w:r>
    </w:p>
    <w:p>
      <w:pPr>
        <w:spacing w:after="160" w:line="276"/>
      </w:pPr>
      <w:r>
        <w:t xml:space="preserve">Between 2014 and 2016, Ricky was treated at Behavioral Health Network for mental health issues. In 2015–2016, he was hospitalized at Baystate for psychiatric reasons, including a medication overdose attempt and suicidal ideation. Records document at least six suicide attempts across his lifetime. In 2025, he was admitted to Westborough Behavioral Health Hospital, where hyperthyroidism was finally being actively treated alongside his psychiatric symptoms.</w:t>
      </w:r>
    </w:p>
    <w:p>
      <w:pPr>
        <w:pStyle w:val="Heading2"/>
      </w:pPr>
      <w:r>
        <w:t xml:space="preserve">Surgical History</w:t>
      </w:r>
    </w:p>
    <w:p>
      <w:pPr>
        <w:spacing w:after="160" w:line="276"/>
      </w:pPr>
      <w:r>
        <w:t xml:space="preserve">Ricky’s 2024 competency evaluation documents a history of 15 orthopedic surgeries. His orthopedic records from 2013 show treatment for wrist pain, a right shoulder tear, and EMG/NCS studies at Pioneer Spine and Sports. The archive contains records from multiple providers across different years, though many surgical details are spread across folders without a consolidated surgical timeline.</w:t>
      </w:r>
    </w:p>
    <w:p>
      <w:pPr>
        <w:pStyle w:val="Heading2"/>
      </w:pPr>
      <w:r>
        <w:t xml:space="preserve">Other Medical Conditions</w:t>
      </w:r>
    </w:p>
    <w:p>
      <w:pPr>
        <w:spacing w:after="160" w:line="276"/>
      </w:pPr>
      <w:r>
        <w:t xml:space="preserve">The archive’s medical conditions list (covering 2005–2019) documents additional health issues including erectile dysfunction (noted as early as 2009), various orthopedic complaints, and conditions that may be thyroid-related. Genetic testing performed at Baystate in 2016 came back normal for carnitine, alpha-galactosidase, and amino acid profiles, ruling out certain metabolic conditions.</w:t>
      </w:r>
    </w:p>
    <w:p>
      <w:pPr>
        <w:pStyle w:val="Heading2"/>
      </w:pPr>
      <w:r>
        <w:t xml:space="preserve">Medication History</w:t>
      </w:r>
    </w:p>
    <w:p>
      <w:pPr>
        <w:spacing w:after="160" w:line="276"/>
      </w:pPr>
      <w:r>
        <w:t xml:space="preserve">Ricky’s medication records span 2005–2022 and document a long list of psychiatric and pain medications prescribed over the years. Given that the underlying thyroid condition was undiagnosed for most of this period, many of these medications were treating symptoms rather than the root cause. This is a point Ricky emphasizes frequently in his documentation.</w:t>
      </w:r>
    </w:p>
    <w:p>
      <w:pPr>
        <w:pStyle w:val="Heading2"/>
      </w:pPr>
      <w:r>
        <w:t xml:space="preserve">The 2024 Competency Evaluation</w:t>
      </w:r>
    </w:p>
    <w:p>
      <w:pPr>
        <w:spacing w:after="160" w:line="276"/>
      </w:pPr>
      <w:r>
        <w:t xml:space="preserve">As part of the 2021 assault case, a competency to stand trial evaluation was conducted in 2024. This evaluation documented Ricky’s full medical and psychiatric history, including the 15 surgeries, the dissociative disorder diagnosis, and his cognitive and emotional profile. Ricky views this evaluation as both a validation of his complex medical history and an example of the system’s willingness to question his competence rather than address the failures of his legal representation.</w:t>
      </w:r>
    </w:p>
    <w:p>
      <w:pPr>
        <w:pStyle w:val="Heading2"/>
      </w:pPr>
      <w:r>
        <w:t xml:space="preserve">Commonwealth Care Alliance Failures</w:t>
      </w:r>
    </w:p>
    <w:p>
      <w:pPr>
        <w:spacing w:after="160" w:line="276"/>
      </w:pPr>
      <w:r>
        <w:t xml:space="preserve">Ricky’s health insurance through Commonwealth Care Alliance (CCA) has been a source of ongoing frustration. He documents CCA’s failure to approve timely care during mental health crises, lack of follow-through on referrals, and absence of care coordination between his many providers. He has filed complaints about CCA with multiple agencies and considers their negligence a contributing factor to his deteriorating health during critical periods.</w:t>
      </w:r>
    </w:p>
    <w:p>
      <w:pPr>
        <w:pStyle w:val="Heading1"/>
      </w:pPr>
      <w:r>
        <w:t xml:space="preserve">Assessment of the Medical Files</w:t>
      </w:r>
    </w:p>
    <w:p>
      <w:pPr>
        <w:spacing w:after="160" w:line="276"/>
      </w:pPr>
      <w:r>
        <w:t xml:space="preserve">The medical documentation is substantial but fragmented. The 3-Medical files folder contains records from multiple providers and time periods: Baystate lab results (2012–2025), thyroid tracking (2015–2025), Apple Health data (2005–2025), psychiatric records from Behavioral Health Network (2014–2015), Baystate hospitalization notes (2015–2016), the 1997 Coast Guard discharge records, the 2024 competency evaluation, the 2025 Westborough records, and the 2016 genetics testing.</w:t>
      </w:r>
    </w:p>
    <w:p>
      <w:pPr>
        <w:spacing w:after="160" w:line="276"/>
      </w:pPr>
      <w:r>
        <w:t xml:space="preserve">What’s missing: the Medical section in the Starter Kit has mostly empty placeholder files (Questions for Doctors, Primary Care, and Surgeries are all blank or nearly blank). The 2026 Medical Summary is a brief note rather than an actual summary. A consolidated surgical timeline and a single-page current conditions/medications reference would significantly strengthen this section.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2026-03-16T20:19:53.393Z</dcterms:created>
  <dcterms:modified xsi:type="dcterms:W3CDTF">2026-03-16T20:19:53.393Z</dcterms:modified>
</cp:coreProperties>
</file>

<file path=docProps/custom.xml><?xml version="1.0" encoding="utf-8"?>
<Properties xmlns="http://schemas.openxmlformats.org/officeDocument/2006/custom-properties" xmlns:vt="http://schemas.openxmlformats.org/officeDocument/2006/docPropsVTypes"/>
</file>