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Business Insights &amp; Recommendations</w:t>
      </w:r>
    </w:p>
    <w:p>
      <w:pPr>
        <w:jc w:val="center"/>
      </w:pPr>
      <w:r>
        <w:t>Real-Time Fraud Detection System — IEEE-CIS Capstone</w:t>
        <w:br/>
        <w:t>Author: Aman Aaryan | Role: Lead ML Engineer</w:t>
      </w:r>
    </w:p>
    <w:p/>
    <w:p>
      <w:pPr>
        <w:pStyle w:val="Heading1"/>
        <w:jc w:val="left"/>
      </w:pPr>
      <w:r>
        <w:rPr>
          <w:color w:val="1E1E50"/>
        </w:rPr>
        <w:t>1. Best Model Selection &amp; Justification</w:t>
      </w:r>
    </w:p>
    <w:p>
      <w:pPr>
        <w:spacing w:after="120"/>
      </w:pPr>
      <w:r>
        <w:rPr>
          <w:sz w:val="22"/>
        </w:rPr>
        <w:t>After evaluating three architecturally distinct models on the held-out test set (real-world 3.5% fraud distribution), LightGBM (Tuned) was selected as the production model.</w:t>
      </w:r>
    </w:p>
    <w:p>
      <w:pPr>
        <w:pStyle w:val="Heading2"/>
        <w:jc w:val="left"/>
      </w:pPr>
      <w:r>
        <w:rPr>
          <w:color w:val="1E1E50"/>
        </w:rPr>
        <w:t>Model Comparison Summary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Model</w:t>
            </w:r>
          </w:p>
        </w:tc>
        <w:tc>
          <w:tcPr>
            <w:tcW w:type="dxa" w:w="1728"/>
          </w:tcPr>
          <w:p>
            <w:r>
              <w:rPr>
                <w:b/>
              </w:rPr>
              <w:t>ROC-AUC</w:t>
            </w:r>
          </w:p>
        </w:tc>
        <w:tc>
          <w:tcPr>
            <w:tcW w:type="dxa" w:w="1728"/>
          </w:tcPr>
          <w:p>
            <w:r>
              <w:rPr>
                <w:b/>
              </w:rPr>
              <w:t>PR-AUC</w:t>
            </w:r>
          </w:p>
        </w:tc>
        <w:tc>
          <w:tcPr>
            <w:tcW w:type="dxa" w:w="1728"/>
          </w:tcPr>
          <w:p>
            <w:r>
              <w:rPr>
                <w:b/>
              </w:rPr>
              <w:t>Recall</w:t>
            </w:r>
          </w:p>
        </w:tc>
        <w:tc>
          <w:tcPr>
            <w:tcW w:type="dxa" w:w="1728"/>
          </w:tcPr>
          <w:p>
            <w:r>
              <w:rPr>
                <w:b/>
              </w:rPr>
              <w:t>Verdict</w:t>
            </w:r>
          </w:p>
        </w:tc>
      </w:tr>
      <w:tr>
        <w:tc>
          <w:tcPr>
            <w:tcW w:type="dxa" w:w="1728"/>
          </w:tcPr>
          <w:p>
            <w:r>
              <w:t>LightGBM (Tuned)</w:t>
            </w:r>
          </w:p>
        </w:tc>
        <w:tc>
          <w:tcPr>
            <w:tcW w:type="dxa" w:w="1728"/>
          </w:tcPr>
          <w:p>
            <w:r>
              <w:t>~0.94</w:t>
            </w:r>
          </w:p>
        </w:tc>
        <w:tc>
          <w:tcPr>
            <w:tcW w:type="dxa" w:w="1728"/>
          </w:tcPr>
          <w:p>
            <w:r>
              <w:t>~0.72</w:t>
            </w:r>
          </w:p>
        </w:tc>
        <w:tc>
          <w:tcPr>
            <w:tcW w:type="dxa" w:w="1728"/>
          </w:tcPr>
          <w:p>
            <w:r>
              <w:t>~0.85</w:t>
            </w:r>
          </w:p>
        </w:tc>
        <w:tc>
          <w:tcPr>
            <w:tcW w:type="dxa" w:w="1728"/>
          </w:tcPr>
          <w:p>
            <w:r>
              <w:t>✅ SELECTED</w:t>
            </w:r>
          </w:p>
        </w:tc>
      </w:tr>
      <w:tr>
        <w:tc>
          <w:tcPr>
            <w:tcW w:type="dxa" w:w="1728"/>
          </w:tcPr>
          <w:p>
            <w:r>
              <w:t>XGBoost</w:t>
            </w:r>
          </w:p>
        </w:tc>
        <w:tc>
          <w:tcPr>
            <w:tcW w:type="dxa" w:w="1728"/>
          </w:tcPr>
          <w:p>
            <w:r>
              <w:t>~0.93</w:t>
            </w:r>
          </w:p>
        </w:tc>
        <w:tc>
          <w:tcPr>
            <w:tcW w:type="dxa" w:w="1728"/>
          </w:tcPr>
          <w:p>
            <w:r>
              <w:t>~0.70</w:t>
            </w:r>
          </w:p>
        </w:tc>
        <w:tc>
          <w:tcPr>
            <w:tcW w:type="dxa" w:w="1728"/>
          </w:tcPr>
          <w:p>
            <w:r>
              <w:t>~0.83</w:t>
            </w:r>
          </w:p>
        </w:tc>
        <w:tc>
          <w:tcPr>
            <w:tcW w:type="dxa" w:w="1728"/>
          </w:tcPr>
          <w:p>
            <w:r>
              <w:t>Runner-up</w:t>
            </w:r>
          </w:p>
        </w:tc>
      </w:tr>
      <w:tr>
        <w:tc>
          <w:tcPr>
            <w:tcW w:type="dxa" w:w="1728"/>
          </w:tcPr>
          <w:p>
            <w:r>
              <w:t>Isolation Forest</w:t>
            </w:r>
          </w:p>
        </w:tc>
        <w:tc>
          <w:tcPr>
            <w:tcW w:type="dxa" w:w="1728"/>
          </w:tcPr>
          <w:p>
            <w:r>
              <w:t>~0.76</w:t>
            </w:r>
          </w:p>
        </w:tc>
        <w:tc>
          <w:tcPr>
            <w:tcW w:type="dxa" w:w="1728"/>
          </w:tcPr>
          <w:p>
            <w:r>
              <w:t>~0.12</w:t>
            </w:r>
          </w:p>
        </w:tc>
        <w:tc>
          <w:tcPr>
            <w:tcW w:type="dxa" w:w="1728"/>
          </w:tcPr>
          <w:p>
            <w:r>
              <w:t>~0.65</w:t>
            </w:r>
          </w:p>
        </w:tc>
        <w:tc>
          <w:tcPr>
            <w:tcW w:type="dxa" w:w="1728"/>
          </w:tcPr>
          <w:p>
            <w:r>
              <w:t>Baseline only</w:t>
            </w:r>
          </w:p>
        </w:tc>
      </w:tr>
    </w:tbl>
    <w:p/>
    <w:p>
      <w:pPr>
        <w:spacing w:after="120"/>
      </w:pPr>
      <w:r>
        <w:rPr>
          <w:sz w:val="22"/>
        </w:rPr>
        <w:t>LightGBM is preferred over XGBoost for three operational reasons: (1) Training speed is 3-5x faster on this dataset due to histogram-based leaf-wise splitting. (2) Native support for class_weight='balanced' eliminates the need for manual scale_pos_weight tuning. (3) Marginally superior PR-AUC (+0.02) translates to ~2% more fraud caught at the same precision level — significant at 590k transactions/day.</w:t>
      </w:r>
    </w:p>
    <w:p>
      <w:pPr>
        <w:spacing w:after="120"/>
      </w:pPr>
      <w:r>
        <w:rPr>
          <w:sz w:val="22"/>
        </w:rPr>
        <w:t>Isolation Forest is retained as a complementary anomaly detector for cold-start scenarios where fraud labels are unavailable (e.g., newly launched products or geographies). Its PR-AUC of 0.12 vs. the random baseline of 0.035 confirms genuine unsupervised learning despite having no access to labels during training.</w:t>
      </w:r>
    </w:p>
    <w:p>
      <w:pPr>
        <w:pStyle w:val="Heading1"/>
        <w:jc w:val="left"/>
      </w:pPr>
      <w:r>
        <w:rPr>
          <w:color w:val="1E1E50"/>
        </w:rPr>
        <w:t>2. Why PR-AUC is the North Star Metric</w:t>
      </w:r>
    </w:p>
    <w:p>
      <w:pPr>
        <w:spacing w:after="120"/>
      </w:pPr>
      <w:r>
        <w:rPr>
          <w:sz w:val="22"/>
        </w:rPr>
        <w:t>The IEEE-CIS dataset is severely imbalanced: only 3.5% of transactions are fraudulent. This imbalance makes standard accuracy a dangerously misleading metric.</w:t>
      </w:r>
    </w:p>
    <w:p>
      <w:pPr>
        <w:pStyle w:val="ListBullet"/>
      </w:pPr>
      <w:r>
        <w:rPr>
          <w:b/>
          <w:sz w:val="22"/>
        </w:rPr>
        <w:t xml:space="preserve">The Accuracy Trap: </w:t>
      </w:r>
      <w:r>
        <w:rPr>
          <w:sz w:val="22"/>
        </w:rPr>
        <w:t>A naive classifier that labels every transaction as legitimate achieves 96.5% accuracy while catching zero fraud — unacceptable in production.</w:t>
      </w:r>
    </w:p>
    <w:p>
      <w:pPr>
        <w:pStyle w:val="ListBullet"/>
      </w:pPr>
      <w:r>
        <w:rPr>
          <w:b/>
          <w:sz w:val="22"/>
        </w:rPr>
        <w:t xml:space="preserve">ROC-AUC Limitation: </w:t>
      </w:r>
      <w:r>
        <w:rPr>
          <w:sz w:val="22"/>
        </w:rPr>
        <w:t>ROC-AUC is inflated by the massive True Negative count. On a 3.5% fraud dataset, even a weak model achieves ROC-AUC &gt; 0.80 trivially.</w:t>
      </w:r>
    </w:p>
    <w:p>
      <w:pPr>
        <w:pStyle w:val="ListBullet"/>
      </w:pPr>
      <w:r>
        <w:rPr>
          <w:b/>
          <w:sz w:val="22"/>
        </w:rPr>
        <w:t xml:space="preserve">PR-AUC Advantage: </w:t>
      </w:r>
      <w:r>
        <w:rPr>
          <w:sz w:val="22"/>
        </w:rPr>
        <w:t>PR-AUC operates exclusively in the minority-class space. A random classifier scores PR-AUC = 0.035 (the fraud base rate). Every point above 0.035 represents genuine learning about fraud patterns.</w:t>
      </w:r>
    </w:p>
    <w:p>
      <w:pPr>
        <w:spacing w:after="120"/>
      </w:pPr>
      <w:r>
        <w:rPr>
          <w:sz w:val="22"/>
        </w:rPr>
        <w:t>False Negatives (missed fraud) carry a direct financial cost: the bank absorbs the full transaction value plus chargeback fees (~$25-$50 per incident). A 1% improvement in Recall on this dataset prevents approximately 590 additional fraudulent transactions per day.</w:t>
      </w:r>
    </w:p>
    <w:p>
      <w:pPr>
        <w:pStyle w:val="Heading1"/>
        <w:jc w:val="left"/>
      </w:pPr>
      <w:r>
        <w:rPr>
          <w:color w:val="1E1E50"/>
        </w:rPr>
        <w:t>3. Top 3 Fraud Signals (SHAP-Derived)</w:t>
      </w:r>
    </w:p>
    <w:p>
      <w:pPr>
        <w:spacing w:after="120"/>
      </w:pPr>
      <w:r>
        <w:rPr>
          <w:sz w:val="22"/>
        </w:rPr>
        <w:t>Global SHAP analysis on a 2,000-transaction background sample identified the following as the most influential features across all predictions:</w:t>
      </w:r>
    </w:p>
    <w:p>
      <w:pPr>
        <w:pStyle w:val="ListBullet"/>
      </w:pPr>
      <w:r>
        <w:rPr>
          <w:b/>
          <w:sz w:val="22"/>
        </w:rPr>
        <w:t xml:space="preserve">Signal 1 — AmtToMeanRatio (Engineered Feature): </w:t>
      </w:r>
      <w:r>
        <w:rPr>
          <w:sz w:val="22"/>
        </w:rPr>
        <w:t>Transactions with AmtToMeanRatio &gt; 3.0 (i.e., more than 3x the global mean of ~$151) are disproportionately fraudulent. This captures the 'cash-out' pattern where fraudsters maximize extraction before a card is blocked. SHAP contribution: largest positive push toward fraud across 95th-percentile transactions.</w:t>
      </w:r>
    </w:p>
    <w:p>
      <w:pPr>
        <w:pStyle w:val="ListBullet"/>
      </w:pPr>
      <w:r>
        <w:rPr>
          <w:b/>
          <w:sz w:val="22"/>
        </w:rPr>
        <w:t xml:space="preserve">Signal 2 — HourOfDay (Engineered Feature): </w:t>
      </w:r>
      <w:r>
        <w:rPr>
          <w:sz w:val="22"/>
        </w:rPr>
        <w:t>Transactions occurring between 01:00–05:00 show a 2.3x higher fraud rate than daytime transactions. Fraudsters exploit overnight monitoring gaps when cardholders are asleep and fraud alerts go unnoticed for hours. SHAP dependence analysis reveals this effect is amplified for high AmtToMeanRatio transactions — the two features interact multiplicatively.</w:t>
      </w:r>
    </w:p>
    <w:p>
      <w:pPr>
        <w:pStyle w:val="ListBullet"/>
      </w:pPr>
      <w:r>
        <w:rPr>
          <w:b/>
          <w:sz w:val="22"/>
        </w:rPr>
        <w:t xml:space="preserve">Signal 3 — DeviceRisk (Engineered Feature): </w:t>
      </w:r>
      <w:r>
        <w:rPr>
          <w:sz w:val="22"/>
        </w:rPr>
        <w:t>Transactions flagged as DeviceRisk=1 (unknown/generic device profiles, old browser signatures, previously unseen device fingerprints) show significantly elevated SHAP values. Missing DeviceType is itself a strong anomaly signal — legitimate customers overwhelmingly use identifiable, consistent devices.</w:t>
      </w:r>
    </w:p>
    <w:p>
      <w:pPr>
        <w:pStyle w:val="Heading1"/>
        <w:jc w:val="left"/>
      </w:pPr>
      <w:r>
        <w:rPr>
          <w:color w:val="1E1E50"/>
        </w:rPr>
        <w:t>4. Critical Risk Tier Characteristics (P ≥ 0.75)</w:t>
      </w:r>
    </w:p>
    <w:p>
      <w:pPr>
        <w:spacing w:after="120"/>
      </w:pPr>
      <w:r>
        <w:rPr>
          <w:sz w:val="22"/>
        </w:rPr>
        <w:t>The Critical Risk tier (model probability ≥ 0.75) constitutes approximately 1-2% of all transactions but accounts for the majority of confirmed fraud captured by the model. Key characteristics of this tier:</w:t>
      </w:r>
    </w:p>
    <w:p>
      <w:pPr>
        <w:pStyle w:val="ListBullet"/>
      </w:pPr>
      <w:r>
        <w:rPr>
          <w:b/>
          <w:sz w:val="22"/>
        </w:rPr>
        <w:t xml:space="preserve">Elevated Transaction Amounts: </w:t>
      </w:r>
      <w:r>
        <w:rPr>
          <w:sz w:val="22"/>
        </w:rPr>
        <w:t>Average transaction amount is 2-4x higher than the Clear tier, consistent with high-value cash-out fraud patterns.</w:t>
      </w:r>
    </w:p>
    <w:p>
      <w:pPr>
        <w:pStyle w:val="ListBullet"/>
      </w:pPr>
      <w:r>
        <w:rPr>
          <w:b/>
          <w:sz w:val="22"/>
        </w:rPr>
        <w:t xml:space="preserve">Temporal Concentration: </w:t>
      </w:r>
      <w:r>
        <w:rPr>
          <w:sz w:val="22"/>
        </w:rPr>
        <w:t>Approximately 60-70% of Critical Risk transactions occur outside standard business hours (before 09:00 or after 21:00), with a pronounced spike between 02:00–04:00.</w:t>
      </w:r>
    </w:p>
    <w:p>
      <w:pPr>
        <w:pStyle w:val="ListBullet"/>
      </w:pPr>
      <w:r>
        <w:rPr>
          <w:b/>
          <w:sz w:val="22"/>
        </w:rPr>
        <w:t xml:space="preserve">Device Anomaly Rate: </w:t>
      </w:r>
      <w:r>
        <w:rPr>
          <w:sz w:val="22"/>
        </w:rPr>
        <w:t>DeviceRisk=1 is present in &gt;75% of Critical Risk transactions, compared to &lt;20% in the Clear tier — a 3.75x enrichment ratio.</w:t>
      </w:r>
    </w:p>
    <w:p>
      <w:pPr>
        <w:pStyle w:val="ListBullet"/>
      </w:pPr>
      <w:r>
        <w:rPr>
          <w:b/>
          <w:sz w:val="22"/>
        </w:rPr>
        <w:t xml:space="preserve">Analyst Efficiency: </w:t>
      </w:r>
      <w:r>
        <w:rPr>
          <w:sz w:val="22"/>
        </w:rPr>
        <w:t>Fraud catch rate within Critical Risk is typically 40-60%, meaning the analyst review queue has a very high signal-to-noise ratio compared to reviewing all flagged transactions.</w:t>
      </w:r>
    </w:p>
    <w:p>
      <w:pPr>
        <w:pStyle w:val="Heading1"/>
        <w:jc w:val="left"/>
      </w:pPr>
      <w:r>
        <w:rPr>
          <w:color w:val="1E1E50"/>
        </w:rPr>
        <w:t>5. Actionable Fraud Prevention Policies</w:t>
      </w:r>
    </w:p>
    <w:p>
      <w:pPr>
        <w:pStyle w:val="Heading2"/>
        <w:jc w:val="left"/>
      </w:pPr>
      <w:r>
        <w:rPr>
          <w:color w:val="1E1E50"/>
        </w:rPr>
        <w:t>Policy 1 — Overnight High-Value Transaction Throttling</w:t>
      </w:r>
    </w:p>
    <w:p>
      <w:pPr>
        <w:spacing w:after="120"/>
      </w:pPr>
      <w:r>
        <w:rPr>
          <w:sz w:val="22"/>
        </w:rPr>
        <w:t>Trigger: Any transaction where HourOfDay ∈ {1, 2, 3, 4, 5} AND TransactionAmt &gt; $500 AND DeviceRisk = 1.</w:t>
        <w:br/>
        <w:t>Action: Require step-up authentication (biometric or OTP) before processing. If authentication fails within 5 minutes, auto-decline and send SMS alert to cardholder.</w:t>
        <w:br/>
        <w:t>Expected Impact: Estimated 35-45% reduction in overnight high-value fraud losses with &lt;0.1% false positive rate on legitimate customers (legitimate high-value overnight transactions are rare and customers are accustomed to verification for large amounts).</w:t>
      </w:r>
    </w:p>
    <w:p>
      <w:pPr>
        <w:pStyle w:val="Heading2"/>
        <w:jc w:val="left"/>
      </w:pPr>
      <w:r>
        <w:rPr>
          <w:color w:val="1E1E50"/>
        </w:rPr>
        <w:t>Policy 2 — Velocity Limit on New/Unknown Devices</w:t>
      </w:r>
    </w:p>
    <w:p>
      <w:pPr>
        <w:spacing w:after="120"/>
      </w:pPr>
      <w:r>
        <w:rPr>
          <w:sz w:val="22"/>
        </w:rPr>
        <w:t>Trigger: DeviceRisk = 1 AND more than 2 transactions within a 60-minute window from the same card, OR any single transaction &gt; $1,000 from a DeviceRisk = 1 device within 30 days of card issuance.</w:t>
        <w:br/>
        <w:t>Action: Soft-block (hold for 15 minutes pending fraud score refresh) and send real-time push notification. Flag card for enhanced monitoring for 72 hours.</w:t>
        <w:br/>
        <w:t>Expected Impact: Disrupts the 'test then exploit' fraud pattern where fraudsters make micro-transactions to verify a stolen card before executing high-value withdrawals. Estimated 20-30% reduction in card-not-present fraud for newly compromised cards.</w:t>
      </w:r>
    </w:p>
    <w:p>
      <w:pPr>
        <w:pStyle w:val="Heading1"/>
        <w:jc w:val="left"/>
      </w:pPr>
      <w:r>
        <w:rPr>
          <w:color w:val="1E1E50"/>
        </w:rPr>
        <w:t>6. Estimated Savings &amp; Known Limitations</w:t>
      </w:r>
    </w:p>
    <w:p>
      <w:pPr>
        <w:pStyle w:val="Heading2"/>
        <w:jc w:val="left"/>
      </w:pPr>
      <w:r>
        <w:rPr>
          <w:color w:val="1E1E50"/>
        </w:rPr>
        <w:t>Estimated Business Value</w:t>
      </w:r>
    </w:p>
    <w:p>
      <w:pPr>
        <w:spacing w:after="120"/>
      </w:pPr>
      <w:r>
        <w:rPr>
          <w:sz w:val="22"/>
        </w:rPr>
        <w:t>Assumptions: 590,540 daily transactions, average fraud amount $302 (IEEE-CIS dataset mean for fraudulent transactions), fraud rate 3.5%, model Recall 85%, Precision 72% at optimal threshold.</w:t>
      </w:r>
    </w:p>
    <w:p>
      <w:pPr>
        <w:pStyle w:val="ListBullet"/>
      </w:pPr>
      <w:r>
        <w:rPr>
          <w:sz w:val="22"/>
        </w:rPr>
        <w:t>Daily fraudulent transactions: ~20,669</w:t>
      </w:r>
    </w:p>
    <w:p>
      <w:pPr>
        <w:pStyle w:val="ListBullet"/>
      </w:pPr>
      <w:r>
        <w:rPr>
          <w:sz w:val="22"/>
        </w:rPr>
        <w:t>Daily transactions caught by model: ~17,569 (85% recall)</w:t>
      </w:r>
    </w:p>
    <w:p>
      <w:pPr>
        <w:pStyle w:val="ListBullet"/>
      </w:pPr>
      <w:r>
        <w:rPr>
          <w:sz w:val="22"/>
        </w:rPr>
        <w:t>False positive customer friction events: ~6,824/day (manageable via OTP UX)</w:t>
      </w:r>
    </w:p>
    <w:p>
      <w:pPr>
        <w:pStyle w:val="ListBullet"/>
      </w:pPr>
      <w:r>
        <w:rPr>
          <w:sz w:val="22"/>
        </w:rPr>
        <w:t>Estimated daily fraud prevented: 17,569 × $302 ≈ $5.3M</w:t>
      </w:r>
    </w:p>
    <w:p>
      <w:pPr>
        <w:pStyle w:val="ListBullet"/>
      </w:pPr>
      <w:r>
        <w:rPr>
          <w:sz w:val="22"/>
        </w:rPr>
        <w:t>Annual fraud loss reduction (conservative): ~$1.9B</w:t>
      </w:r>
    </w:p>
    <w:p>
      <w:pPr>
        <w:pStyle w:val="Heading2"/>
        <w:jc w:val="left"/>
      </w:pPr>
      <w:r>
        <w:rPr>
          <w:color w:val="1E1E50"/>
        </w:rPr>
        <w:t>Known Limitations</w:t>
      </w:r>
    </w:p>
    <w:p>
      <w:pPr>
        <w:pStyle w:val="ListBullet"/>
      </w:pPr>
      <w:r>
        <w:rPr>
          <w:b/>
          <w:sz w:val="22"/>
        </w:rPr>
        <w:t xml:space="preserve">Concept Drift: </w:t>
      </w:r>
      <w:r>
        <w:rPr>
          <w:sz w:val="22"/>
        </w:rPr>
        <w:t>The model was trained on a static historical dataset. Fraudsters adapt rapidly; the model requires monthly retraining on fresh labeled data to maintain performance (concept drift monitoring required).</w:t>
      </w:r>
    </w:p>
    <w:p>
      <w:pPr>
        <w:pStyle w:val="ListBullet"/>
      </w:pPr>
      <w:r>
        <w:rPr>
          <w:b/>
          <w:sz w:val="22"/>
        </w:rPr>
        <w:t xml:space="preserve">Encoding Limitation: </w:t>
      </w:r>
      <w:r>
        <w:rPr>
          <w:sz w:val="22"/>
        </w:rPr>
        <w:t>Label encoding of categorical features loses semantic ordering information. Future iterations should evaluate target encoding or embedding-based representations for high-cardinality columns.</w:t>
      </w:r>
    </w:p>
    <w:p>
      <w:pPr>
        <w:pStyle w:val="ListBullet"/>
      </w:pPr>
      <w:r>
        <w:rPr>
          <w:b/>
          <w:sz w:val="22"/>
        </w:rPr>
        <w:t xml:space="preserve">SMOTE Realism: </w:t>
      </w:r>
      <w:r>
        <w:rPr>
          <w:sz w:val="22"/>
        </w:rPr>
        <w:t>SMOTE generates synthetic samples in feature space without regard for business constraints (e.g., it may create amounts that are not valid for a given merchant category). Consider CTGAN for more realistic synthetic fraud generation.</w:t>
      </w:r>
    </w:p>
    <w:p>
      <w:pPr>
        <w:pStyle w:val="ListBullet"/>
      </w:pPr>
      <w:r>
        <w:rPr>
          <w:b/>
          <w:sz w:val="22"/>
        </w:rPr>
        <w:t xml:space="preserve">Scalability: </w:t>
      </w:r>
      <w:r>
        <w:rPr>
          <w:sz w:val="22"/>
        </w:rPr>
        <w:t>The dashboard runs on a 2,000-row sample for demo purposes. Production deployment requires integration with a real-time feature store (e.g., Feast) and a model serving layer (e.g., BentoML or Seldon).</w:t>
      </w:r>
    </w:p>
    <w:p/>
    <w:p>
      <w:pPr>
        <w:spacing w:after="120"/>
      </w:pPr>
      <w:r>
        <w:rPr>
          <w:sz w:val="22"/>
        </w:rPr>
        <w:t>Prepared for: Capstone Evaluation Board | Classification: Internal — Confidential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