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sz w:val="36"/>
          <w:szCs w:val="36"/>
        </w:rPr>
      </w:pPr>
      <w:bookmarkStart w:colFirst="0" w:colLast="0" w:name="_qdnd6efnku0w" w:id="0"/>
      <w:bookmarkEnd w:id="0"/>
      <w:r w:rsidDel="00000000" w:rsidR="00000000" w:rsidRPr="00000000">
        <w:rPr>
          <w:sz w:val="36"/>
          <w:szCs w:val="36"/>
          <w:rtl w:val="0"/>
        </w:rPr>
        <w:t xml:space="preserve">HIPAA-Compliant Tracking Overview for Digital Platforms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mm4u688y6td" w:id="1"/>
      <w:bookmarkEnd w:id="1"/>
      <w:r w:rsidDel="00000000" w:rsidR="00000000" w:rsidRPr="00000000">
        <w:rPr>
          <w:b w:val="1"/>
          <w:bCs w:val="1"/>
          <w:color w:val="000000"/>
          <w:sz w:val="26"/>
          <w:szCs w:val="26"/>
          <w:rtl w:val="0"/>
        </w:rPr>
        <w:t xml:space="preserve">🕵️ What is HIPAA Compliance?</w:t>
      </w:r>
    </w:p>
    <w:p w:rsidR="00000000" w:rsidDel="00000000" w:rsidP="00000000" w:rsidRDefault="00000000" w:rsidRPr="00000000" w14:paraId="00000004">
      <w:pPr>
        <w:spacing w:after="240" w:before="240" w:lineRule="auto"/>
        <w:rPr/>
      </w:pPr>
      <w:r w:rsidDel="00000000" w:rsidR="00000000" w:rsidRPr="00000000">
        <w:rPr>
          <w:rtl w:val="0"/>
        </w:rPr>
        <w:t xml:space="preserve">HIPAA (Health Insurance Portability and Accountability Act) mandates that Protected Health Information (PHI) is safeguarded and not shared with unauthorized third parties. Digital tracking systems (like GA4, Meta Pixel, LinkedIn Insights, etc.) are </w:t>
      </w:r>
      <w:r w:rsidDel="00000000" w:rsidR="00000000" w:rsidRPr="00000000">
        <w:rPr>
          <w:b w:val="1"/>
          <w:bCs w:val="1"/>
          <w:rtl w:val="0"/>
        </w:rPr>
        <w:t xml:space="preserve">not HIPAA-compliant by default</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Tracking platforms must be implemented carefully to ensure </w:t>
      </w:r>
      <w:r w:rsidDel="00000000" w:rsidR="00000000" w:rsidRPr="00000000">
        <w:rPr>
          <w:b w:val="1"/>
          <w:bCs w:val="1"/>
          <w:rtl w:val="0"/>
        </w:rPr>
        <w:t xml:space="preserve">no PHI</w:t>
      </w:r>
      <w:r w:rsidDel="00000000" w:rsidR="00000000" w:rsidRPr="00000000">
        <w:rPr>
          <w:rtl w:val="0"/>
        </w:rPr>
        <w:t xml:space="preserve"> is shared, whether directly (e.g., name, email) or indirectly (e.g., behavioral data that implies a diagnosis).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wl3umai6puo4" w:id="2"/>
      <w:bookmarkEnd w:id="2"/>
      <w:r w:rsidDel="00000000" w:rsidR="00000000" w:rsidRPr="00000000">
        <w:rPr>
          <w:b w:val="1"/>
          <w:bCs w:val="1"/>
          <w:color w:val="000000"/>
          <w:sz w:val="26"/>
          <w:szCs w:val="26"/>
          <w:rtl w:val="0"/>
        </w:rPr>
        <w:t xml:space="preserve">🔍 What Is Considered PHI or Sensitive Data?</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tl w:val="0"/>
        </w:rPr>
        <w:t xml:space="preserve">Names, emails, phone numbers, addresses</w:t>
        <w:br w:type="textWrapping"/>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IP addresses (unless anonymized)</w:t>
        <w:br w:type="textWrapping"/>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User IDs tied to health services</w:t>
        <w:br w:type="textWrapping"/>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Form submissions or behaviors implying a medical condition (e.g., filling out an intake form)</w:t>
        <w:br w:type="textWrapping"/>
      </w:r>
    </w:p>
    <w:p w:rsidR="00000000" w:rsidDel="00000000" w:rsidP="00000000" w:rsidRDefault="00000000" w:rsidRPr="00000000" w14:paraId="0000000C">
      <w:pPr>
        <w:numPr>
          <w:ilvl w:val="0"/>
          <w:numId w:val="9"/>
        </w:numPr>
        <w:spacing w:after="240" w:before="0" w:beforeAutospacing="0" w:lineRule="auto"/>
        <w:ind w:left="720" w:hanging="360"/>
      </w:pPr>
      <w:r w:rsidDel="00000000" w:rsidR="00000000" w:rsidRPr="00000000">
        <w:rPr>
          <w:b w:val="1"/>
          <w:bCs w:val="1"/>
          <w:rtl w:val="0"/>
        </w:rPr>
        <w:t xml:space="preserve">Page visits</w:t>
      </w:r>
      <w:r w:rsidDel="00000000" w:rsidR="00000000" w:rsidRPr="00000000">
        <w:rPr>
          <w:rtl w:val="0"/>
        </w:rPr>
        <w:t xml:space="preserve"> to URLs that strongly imply medical treatment intent </w:t>
      </w:r>
      <w:r w:rsidDel="00000000" w:rsidR="00000000" w:rsidRPr="00000000">
        <w:rPr>
          <w:i w:val="1"/>
          <w:iCs w:val="1"/>
          <w:rtl w:val="0"/>
        </w:rPr>
        <w:t xml:space="preserve">can</w:t>
      </w:r>
      <w:r w:rsidDel="00000000" w:rsidR="00000000" w:rsidRPr="00000000">
        <w:rPr>
          <w:rtl w:val="0"/>
        </w:rPr>
        <w:t xml:space="preserve"> be considered PHI </w:t>
      </w:r>
      <w:r w:rsidDel="00000000" w:rsidR="00000000" w:rsidRPr="00000000">
        <w:rPr>
          <w:b w:val="1"/>
          <w:bCs w:val="1"/>
          <w:rtl w:val="0"/>
        </w:rPr>
        <w:t xml:space="preserve">if shared with third-party marketing tools</w:t>
      </w:r>
      <w:r w:rsidDel="00000000" w:rsidR="00000000" w:rsidRPr="00000000">
        <w:rPr>
          <w:rtl w:val="0"/>
        </w:rPr>
        <w:t xml:space="preserve"> or tied to individual user behavior.</w:t>
        <w:br w:type="textWrapping"/>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5ym3rtec692" w:id="3"/>
      <w:bookmarkEnd w:id="3"/>
      <w:r w:rsidDel="00000000" w:rsidR="00000000" w:rsidRPr="00000000">
        <w:rPr>
          <w:b w:val="1"/>
          <w:bCs w:val="1"/>
          <w:color w:val="000000"/>
          <w:sz w:val="26"/>
          <w:szCs w:val="26"/>
          <w:rtl w:val="0"/>
        </w:rPr>
        <w:t xml:space="preserve">📄 Pageviews: When Are They Safe to Track?</w:t>
      </w:r>
    </w:p>
    <w:p w:rsidR="00000000" w:rsidDel="00000000" w:rsidP="00000000" w:rsidRDefault="00000000" w:rsidRPr="00000000" w14:paraId="0000000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Pageviews can be tracked safely if:</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tl w:val="0"/>
        </w:rPr>
        <w:t xml:space="preserve">No user-specific identifiers are collected (e.g., email, IP)</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The purpose is </w:t>
      </w:r>
      <w:r w:rsidDel="00000000" w:rsidR="00000000" w:rsidRPr="00000000">
        <w:rPr>
          <w:b w:val="1"/>
          <w:bCs w:val="1"/>
          <w:rtl w:val="0"/>
        </w:rPr>
        <w:t xml:space="preserve">internal analytics only</w:t>
      </w:r>
      <w:r w:rsidDel="00000000" w:rsidR="00000000" w:rsidRPr="00000000">
        <w:rPr>
          <w:rtl w:val="0"/>
        </w:rPr>
        <w:t xml:space="preserve"> (e.g., GA4)</w:t>
        <w:br w:type="textWrapping"/>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The data is not used for retargeting</w:t>
        <w:br w:type="textWrapping"/>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tl w:val="0"/>
        </w:rPr>
        <w:t xml:space="preserve">Sensitive query parameters (e.g., </w:t>
      </w:r>
      <w:r w:rsidDel="00000000" w:rsidR="00000000" w:rsidRPr="00000000">
        <w:rPr>
          <w:rFonts w:ascii="Roboto Mono" w:cs="Roboto Mono" w:eastAsia="Roboto Mono" w:hAnsi="Roboto Mono"/>
          <w:color w:val="188038"/>
          <w:rtl w:val="0"/>
        </w:rPr>
        <w:t xml:space="preserve">?gclid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are stripped</w:t>
        <w:br w:type="textWrapping"/>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Avoid tracking pageviews with ad platforms like Meta or LinkedIn</w:t>
      </w:r>
      <w:r w:rsidDel="00000000" w:rsidR="00000000" w:rsidRPr="00000000">
        <w:rPr>
          <w:rtl w:val="0"/>
        </w:rPr>
        <w:t xml:space="preserve"> if:</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The page implies medical intent (e.g., “mental-health-intake-form”)</w:t>
        <w:br w:type="textWrapping"/>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That event is used to build remarketing audiences</w:t>
        <w:br w:type="textWrapping"/>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The user could be identified or inferred</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msf6hy20oewh" w:id="4"/>
      <w:bookmarkEnd w:id="4"/>
      <w:r w:rsidDel="00000000" w:rsidR="00000000" w:rsidRPr="00000000">
        <w:rPr>
          <w:b w:val="1"/>
          <w:bCs w:val="1"/>
          <w:color w:val="000000"/>
          <w:sz w:val="26"/>
          <w:szCs w:val="26"/>
          <w:rtl w:val="0"/>
        </w:rPr>
        <w:t xml:space="preserve">🔎 Platform-Specific Guidance &amp; Use Cases</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vve7fv2vea79" w:id="5"/>
      <w:bookmarkEnd w:id="5"/>
      <w:r w:rsidDel="00000000" w:rsidR="00000000" w:rsidRPr="00000000">
        <w:rPr>
          <w:rFonts w:ascii="Arial Unicode MS" w:cs="Arial Unicode MS" w:eastAsia="Arial Unicode MS" w:hAnsi="Arial Unicode MS"/>
          <w:b w:val="1"/>
          <w:bCs w:val="1"/>
          <w:color w:val="000000"/>
          <w:sz w:val="22"/>
          <w:szCs w:val="22"/>
          <w:rtl w:val="0"/>
        </w:rPr>
        <w:t xml:space="preserve">✅ Google Analytics 4 (GA4)</w:t>
      </w:r>
    </w:p>
    <w:p w:rsidR="00000000" w:rsidDel="00000000" w:rsidP="00000000" w:rsidRDefault="00000000" w:rsidRPr="00000000" w14:paraId="0000001B">
      <w:pPr>
        <w:numPr>
          <w:ilvl w:val="0"/>
          <w:numId w:val="10"/>
        </w:numPr>
        <w:spacing w:after="0" w:afterAutospacing="0" w:before="240" w:lineRule="auto"/>
        <w:ind w:left="720" w:hanging="360"/>
      </w:pPr>
      <w:r w:rsidDel="00000000" w:rsidR="00000000" w:rsidRPr="00000000">
        <w:rPr>
          <w:rtl w:val="0"/>
        </w:rPr>
        <w:t xml:space="preserve">Track anonymized pageviews, scrolls, and generic engagement events</w:t>
        <w:br w:type="textWrapping"/>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Avoid tracking form submissions with health-related context</w:t>
        <w:br w:type="textWrapping"/>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Strip query parameters like </w:t>
      </w:r>
      <w:r w:rsidDel="00000000" w:rsidR="00000000" w:rsidRPr="00000000">
        <w:rPr>
          <w:rFonts w:ascii="Roboto Mono" w:cs="Roboto Mono" w:eastAsia="Roboto Mono" w:hAnsi="Roboto Mono"/>
          <w:color w:val="188038"/>
          <w:rtl w:val="0"/>
        </w:rPr>
        <w:t xml:space="preserve">gclid</w:t>
      </w:r>
      <w:r w:rsidDel="00000000" w:rsidR="00000000" w:rsidRPr="00000000">
        <w:rPr>
          <w:rtl w:val="0"/>
        </w:rPr>
        <w:t xml:space="preserve"> from sensitive URLs</w:t>
        <w:br w:type="textWrapping"/>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rtl w:val="0"/>
        </w:rPr>
        <w:t xml:space="preserve">Use server-side tagging to remove PHI before transmission</w:t>
        <w:br w:type="textWrapping"/>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32ouq7gewm5t" w:id="6"/>
      <w:bookmarkEnd w:id="6"/>
      <w:r w:rsidDel="00000000" w:rsidR="00000000" w:rsidRPr="00000000">
        <w:rPr>
          <w:rFonts w:ascii="Arial Unicode MS" w:cs="Arial Unicode MS" w:eastAsia="Arial Unicode MS" w:hAnsi="Arial Unicode MS"/>
          <w:b w:val="1"/>
          <w:bCs w:val="1"/>
          <w:color w:val="000000"/>
          <w:sz w:val="22"/>
          <w:szCs w:val="22"/>
          <w:rtl w:val="0"/>
        </w:rPr>
        <w:t xml:space="preserve">✅ Meta (Facebook/Instagram)</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Do not enable "Advanced Matching" (which collects emails/phones)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Avoid tracking forms or appointments tied to health services</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Do not send PageView events from pages implying treatment intent</w:t>
        <w:br w:type="textWrapping"/>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Use Meta Conversions API for server-side attribution only</w:t>
        <w:br w:type="textWrapping"/>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nclcaearqdtf" w:id="7"/>
      <w:bookmarkEnd w:id="7"/>
      <w:r w:rsidDel="00000000" w:rsidR="00000000" w:rsidRPr="00000000">
        <w:rPr>
          <w:rFonts w:ascii="Arial Unicode MS" w:cs="Arial Unicode MS" w:eastAsia="Arial Unicode MS" w:hAnsi="Arial Unicode MS"/>
          <w:b w:val="1"/>
          <w:bCs w:val="1"/>
          <w:color w:val="000000"/>
          <w:sz w:val="22"/>
          <w:szCs w:val="22"/>
          <w:rtl w:val="0"/>
        </w:rPr>
        <w:t xml:space="preserve">✅ LinkedIn Ads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Do not sync leads with sensitive form inputs</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Avoid retargeting based on condition-specific pages</w:t>
        <w:br w:type="textWrapping"/>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Use only top-level, non-sensitive page visits</w:t>
        <w:br w:type="textWrapping"/>
        <w:br w:type="textWrapping"/>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qli4ajg6lk9k" w:id="8"/>
      <w:bookmarkEnd w:id="8"/>
      <w:r w:rsidDel="00000000" w:rsidR="00000000" w:rsidRPr="00000000">
        <w:rPr>
          <w:rFonts w:ascii="Arial Unicode MS" w:cs="Arial Unicode MS" w:eastAsia="Arial Unicode MS" w:hAnsi="Arial Unicode MS"/>
          <w:b w:val="1"/>
          <w:bCs w:val="1"/>
          <w:color w:val="000000"/>
          <w:sz w:val="22"/>
          <w:szCs w:val="22"/>
          <w:rtl w:val="0"/>
        </w:rPr>
        <w:t xml:space="preserve">✅ HubSpot (Forms, CRM)</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Do not collect PHI in HubSpot forms or contact properties</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Configure forms to exclude sensitive questions</w:t>
        <w:br w:type="textWrapping"/>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Do not pass form data to Google Ads, Meta, etc.</w:t>
        <w:br w:type="textWrapping"/>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Avoid automatic syncing of sensitive leads</w:t>
        <w:br w:type="textWrapping"/>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wfhlwro1p0c" w:id="9"/>
      <w:bookmarkEnd w:id="9"/>
      <w:r w:rsidDel="00000000" w:rsidR="00000000" w:rsidRPr="00000000">
        <w:rPr>
          <w:b w:val="1"/>
          <w:bCs w:val="1"/>
          <w:color w:val="000000"/>
          <w:sz w:val="26"/>
          <w:szCs w:val="26"/>
          <w:rtl w:val="0"/>
        </w:rPr>
        <w:t xml:space="preserve">🔐 Identifiers Like </w:t>
      </w:r>
      <w:r w:rsidDel="00000000" w:rsidR="00000000" w:rsidRPr="00000000">
        <w:rPr>
          <w:rFonts w:ascii="Roboto Mono" w:cs="Roboto Mono" w:eastAsia="Roboto Mono" w:hAnsi="Roboto Mono"/>
          <w:b w:val="1"/>
          <w:bCs w:val="1"/>
          <w:color w:val="188038"/>
          <w:sz w:val="26"/>
          <w:szCs w:val="26"/>
          <w:rtl w:val="0"/>
        </w:rPr>
        <w:t xml:space="preserve">gclid</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fbclid</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tl w:val="0"/>
        </w:rPr>
        <w:t xml:space="preserve">These click identifiers are </w:t>
      </w:r>
      <w:r w:rsidDel="00000000" w:rsidR="00000000" w:rsidRPr="00000000">
        <w:rPr>
          <w:b w:val="1"/>
          <w:bCs w:val="1"/>
          <w:rtl w:val="0"/>
        </w:rPr>
        <w:t xml:space="preserve">not PHI</w:t>
      </w:r>
      <w:r w:rsidDel="00000000" w:rsidR="00000000" w:rsidRPr="00000000">
        <w:rPr>
          <w:rtl w:val="0"/>
        </w:rPr>
        <w:t xml:space="preserve"> by themselves</w:t>
        <w:br w:type="textWrapping"/>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However, if present on a sensitive form/page, they can </w:t>
      </w:r>
      <w:r w:rsidDel="00000000" w:rsidR="00000000" w:rsidRPr="00000000">
        <w:rPr>
          <w:b w:val="1"/>
          <w:bCs w:val="1"/>
          <w:rtl w:val="0"/>
        </w:rPr>
        <w:t xml:space="preserve">contribute</w:t>
      </w:r>
      <w:r w:rsidDel="00000000" w:rsidR="00000000" w:rsidRPr="00000000">
        <w:rPr>
          <w:rtl w:val="0"/>
        </w:rPr>
        <w:t xml:space="preserve"> to PHI if tied to behavior</w:t>
        <w:br w:type="textWrapping"/>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sfd0b37i7h7l" w:id="10"/>
      <w:bookmarkEnd w:id="10"/>
      <w:r w:rsidDel="00000000" w:rsidR="00000000" w:rsidRPr="00000000">
        <w:rPr>
          <w:b w:val="1"/>
          <w:bCs w:val="1"/>
          <w:color w:val="000000"/>
          <w:sz w:val="22"/>
          <w:szCs w:val="22"/>
          <w:rtl w:val="0"/>
        </w:rPr>
        <w:t xml:space="preserve">HIPAA-Safe Options:</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Strip these IDs from URLs before tracking</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Use server-side tagging to store and match click IDs (not exposed to client-side tools)</w:t>
        <w:br w:type="textWrapping"/>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Use consent mode and modeling for attribution instead of exact matching</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1htmh6ohdx1m" w:id="11"/>
      <w:bookmarkEnd w:id="11"/>
      <w:r w:rsidDel="00000000" w:rsidR="00000000" w:rsidRPr="00000000">
        <w:rPr>
          <w:b w:val="1"/>
          <w:bCs w:val="1"/>
          <w:color w:val="000000"/>
          <w:sz w:val="26"/>
          <w:szCs w:val="26"/>
          <w:rtl w:val="0"/>
        </w:rPr>
        <w:t xml:space="preserve">📊 Tracking Approach Summary</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795"/>
        <w:tblGridChange w:id="0">
          <w:tblGrid>
            <w:gridCol w:w="1890"/>
            <w:gridCol w:w="6795"/>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What We 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GA4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Pageviews (anonymized), safe events, no PHI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CAPI-only, no Advanced Matching, no health form/page tracking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LinkedIn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Page visits only, no lead sync for sensitive content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TikTok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Generic engagement only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HubSpot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No PHI in forms or syncing to ad tools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Query Params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Strip identifiers (gclid, fbclid) on sensitive pages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Consent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Use OneTrust or similar CMP for cookie control</w:t>
            </w:r>
          </w:p>
        </w:tc>
      </w:tr>
    </w:tbl>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wbnodyya21cc" w:id="12"/>
      <w:bookmarkEnd w:id="12"/>
      <w:r w:rsidDel="00000000" w:rsidR="00000000" w:rsidRPr="00000000">
        <w:rPr>
          <w:b w:val="1"/>
          <w:bCs w:val="1"/>
          <w:color w:val="000000"/>
          <w:sz w:val="26"/>
          <w:szCs w:val="26"/>
          <w:rtl w:val="0"/>
        </w:rPr>
        <w:t xml:space="preserve">📈 Questions We May Ask the Client</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rtl w:val="0"/>
        </w:rPr>
        <w:t xml:space="preserve">Do your forms collect any health or treatment-specific data?</w:t>
        <w:br w:type="textWrapping"/>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Are there appointment booking or intake forms that need to be excluded from tracking?</w:t>
        <w:br w:type="textWrapping"/>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Are you currently passing </w:t>
      </w:r>
      <w:r w:rsidDel="00000000" w:rsidR="00000000" w:rsidRPr="00000000">
        <w:rPr>
          <w:rFonts w:ascii="Roboto Mono" w:cs="Roboto Mono" w:eastAsia="Roboto Mono" w:hAnsi="Roboto Mono"/>
          <w:color w:val="188038"/>
          <w:rtl w:val="0"/>
        </w:rPr>
        <w:t xml:space="preserve">gclid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fbclid</w:t>
      </w:r>
      <w:r w:rsidDel="00000000" w:rsidR="00000000" w:rsidRPr="00000000">
        <w:rPr>
          <w:rtl w:val="0"/>
        </w:rPr>
        <w:t xml:space="preserve">, or other parameters to your CRM?</w:t>
        <w:br w:type="textWrapping"/>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rtl w:val="0"/>
        </w:rPr>
        <w:t xml:space="preserve">Is a Consent Management Platform (like OneTrust) already installed?</w:t>
        <w:br w:type="textWrapping"/>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