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D9488"/>
          <w:sz w:val="20"/>
        </w:rPr>
        <w:t>LOGISTICS DATA ANALYST INTERNSHIP — WEEK 2</w:t>
      </w:r>
    </w:p>
    <w:p>
      <w:pPr>
        <w:spacing w:before="0" w:after="160"/>
      </w:pPr>
      <w:r>
        <w:rPr>
          <w:rFonts w:ascii="Calibri" w:hAnsi="Calibri"/>
          <w:b/>
          <w:color w:val="0F2A4A"/>
          <w:sz w:val="44"/>
        </w:rPr>
        <w:t>Data Collection, Cleaning, and Preprocessing for Indian Logistics Analysis</w:t>
      </w:r>
    </w:p>
    <w:p>
      <w:pPr>
        <w:spacing w:before="0" w:after="280"/>
      </w:pPr>
      <w:r>
        <w:rPr>
          <w:rFonts w:ascii="Calibri" w:hAnsi="Calibri"/>
          <w:i/>
          <w:color w:val="64748B"/>
          <w:sz w:val="19"/>
        </w:rPr>
        <w:t>Author: Logistics Data Analyst Intern | Target Domain: Indian Freight &amp; Multi-Carrier 3PL Network | Dataset Scope: 25,000 Dispatches</w:t>
      </w:r>
    </w:p>
    <w:tbl>
      <w:tblPr>
        <w:tblW w:type="auto" w:w="0"/>
        <w:jc w:val="center"/>
        <w:tblLayout w:type="fixed"/>
        <w:tblLook w:firstColumn="1" w:firstRow="1" w:lastColumn="0" w:lastRow="0" w:noHBand="0" w:noVBand="1" w:val="04A0"/>
      </w:tblPr>
      <w:tblGrid>
        <w:gridCol w:w="9936"/>
      </w:tblGrid>
      <w:tr>
        <w:tc>
          <w:tcPr>
            <w:tcW w:type="dxa" w:w="9360"/>
            <w:shd w:fill="F0F4F8"/>
            <w:tcMar>
              <w:top w:w="140" w:type="dxa"/>
              <w:bottom w:w="140" w:type="dxa"/>
              <w:left w:w="200" w:type="dxa"/>
              <w:right w:w="200" w:type="dxa"/>
            </w:tcMar>
            <w:tcBorders>
              <w:left w:val="single" w:sz="24" w:space="0" w:color="1E3A8A"/>
              <w:top w:val="none"/>
              <w:right w:val="none"/>
              <w:bottom w:val="none"/>
            </w:tcBorders>
          </w:tcPr>
          <w:p>
            <w:pPr>
              <w:spacing w:before="40" w:after="80"/>
            </w:pPr>
            <w:r>
              <w:rPr>
                <w:rFonts w:ascii="Calibri" w:hAnsi="Calibri"/>
                <w:b/>
                <w:color w:val="1E3A8A"/>
                <w:sz w:val="21"/>
              </w:rPr>
              <w:t>📌 EXECUTIVE SUMMARY &amp; PROJECT CHARTER</w:t>
              <w:br/>
            </w:r>
          </w:p>
          <w:p>
            <w:pPr>
              <w:spacing w:before="40" w:after="40"/>
            </w:pPr>
            <w:r>
              <w:rPr>
                <w:rFonts w:ascii="Calibri" w:hAnsi="Calibri"/>
                <w:color w:val="334155"/>
                <w:sz w:val="19"/>
              </w:rPr>
              <w:t>Executive Objective: Establish an enterprise-ready, automated data cleaning and preprocessing pipeline for multi-carrier Indian logistics telematics.</w:t>
            </w:r>
          </w:p>
          <w:p>
            <w:pPr>
              <w:spacing w:before="40" w:after="40"/>
            </w:pPr>
            <w:r>
              <w:rPr>
                <w:rFonts w:ascii="Calibri" w:hAnsi="Calibri"/>
                <w:color w:val="334155"/>
                <w:sz w:val="19"/>
              </w:rPr>
              <w:t>Operational Scope: 25,000 shipment dispatches across 9 leading 3PL carriers (Delhivery, Blue Dart, Xpressbees, Shadowfax, Ekart, Ecom Express, FedEx, DHL, Amazon Logistics), 6 vehicle classes (combustion and EV green fleet), and 5 primary Indian regional economic corridors (North, South, East, West, Central).</w:t>
            </w:r>
          </w:p>
          <w:p>
            <w:pPr>
              <w:spacing w:before="40" w:after="40"/>
            </w:pPr>
            <w:r>
              <w:rPr>
                <w:rFonts w:ascii="Calibri" w:hAnsi="Calibri"/>
                <w:color w:val="334155"/>
                <w:sz w:val="19"/>
              </w:rPr>
              <w:t>Key Methodologies: Primary surrogate key re-indexing, timestamp anomaly correction, Tukey's IQR and Isolation Forest multivariable anomaly detection, log/power variance stabilization, and standardized feature scaling benchmarking.</w:t>
            </w:r>
          </w:p>
        </w:tc>
      </w:tr>
    </w:tbl>
    <w:p>
      <w:pPr>
        <w:spacing w:after="120"/>
      </w:pPr>
    </w:p>
    <w:p>
      <w:pPr>
        <w:pStyle w:val="Heading1"/>
        <w:spacing w:before="280" w:after="120"/>
      </w:pPr>
      <w:r>
        <w:rPr>
          <w:rFonts w:ascii="Calibri" w:hAnsi="Calibri"/>
          <w:b/>
          <w:color w:val="0F2A4A"/>
          <w:sz w:val="32"/>
        </w:rPr>
        <w:t>1. Logistics Data Collection Simulation &amp; Ingestion Architecture</w:t>
      </w:r>
    </w:p>
    <w:p>
      <w:pPr>
        <w:spacing w:before="0" w:after="120" w:line="276" w:lineRule="auto"/>
      </w:pPr>
      <w:r>
        <w:rPr>
          <w:rFonts w:ascii="Calibri" w:hAnsi="Calibri"/>
          <w:color w:val="1F2937"/>
          <w:sz w:val="21"/>
        </w:rPr>
        <w:t>In modern Indian supply chain ecosystems, data originates from highly decentralized, heterogeneous sources: telematics on-board units (OBUs), Transport Management Systems (TMS), Warehouse Management Systems (WMS), Enterprise Resource Planning (ERP) databases, and third-party logistics (3PL) carrier API webhooks.</w:t>
      </w:r>
    </w:p>
    <w:p>
      <w:pPr>
        <w:spacing w:before="0" w:after="120" w:line="276" w:lineRule="auto"/>
      </w:pPr>
      <w:r>
        <w:rPr>
          <w:rFonts w:ascii="Calibri" w:hAnsi="Calibri"/>
          <w:color w:val="1F2937"/>
          <w:sz w:val="21"/>
        </w:rPr>
        <w:t>Our reference dataset simulates the collection of 25,000 shipment dispatches across India's principal commercial hubs (Delhi NCR, Mumbai MMR, Bengaluru, Kolkata, Chennai, Hyderabad) over an active quarterly fulfillment window. The data encompasses shipment weights, dispatch and SLA timestamps, transit distances, vehicle modes, prevailing weather conditions, delivery outcomes, customer satisfaction ratings, and freight billing.</w:t>
      </w:r>
    </w:p>
    <w:p>
      <w:r>
        <w:drawing>
          <wp:inline xmlns:a="http://schemas.openxmlformats.org/drawingml/2006/main" xmlns:pic="http://schemas.openxmlformats.org/drawingml/2006/picture">
            <wp:extent cx="5943600" cy="2937444"/>
            <wp:docPr id="1" name="Picture 1"/>
            <wp:cNvGraphicFramePr>
              <a:graphicFrameLocks noChangeAspect="1"/>
            </wp:cNvGraphicFramePr>
            <a:graphic>
              <a:graphicData uri="http://schemas.openxmlformats.org/drawingml/2006/picture">
                <pic:pic>
                  <pic:nvPicPr>
                    <pic:cNvPr id="0" name="indian_logistics_pipeline_architecture.png"/>
                    <pic:cNvPicPr/>
                  </pic:nvPicPr>
                  <pic:blipFill>
                    <a:blip r:embed="rId9"/>
                    <a:stretch>
                      <a:fillRect/>
                    </a:stretch>
                  </pic:blipFill>
                  <pic:spPr>
                    <a:xfrm>
                      <a:off x="0" y="0"/>
                      <a:ext cx="5943600" cy="2937444"/>
                    </a:xfrm>
                    <a:prstGeom prst="rect"/>
                  </pic:spPr>
                </pic:pic>
              </a:graphicData>
            </a:graphic>
          </wp:inline>
        </w:drawing>
      </w:r>
    </w:p>
    <w:p>
      <w:pPr>
        <w:spacing w:before="40" w:after="160"/>
        <w:jc w:val="center"/>
      </w:pPr>
      <w:r>
        <w:rPr>
          <w:rFonts w:ascii="Calibri" w:hAnsi="Calibri"/>
          <w:i/>
          <w:color w:val="64748B"/>
          <w:sz w:val="17"/>
        </w:rPr>
        <w:t>Figure 1: End-to-End Indian Logistics Data Preprocessing &amp; Cleaning Pipeline Architecture</w:t>
      </w:r>
    </w:p>
    <w:p>
      <w:pPr>
        <w:pStyle w:val="Heading2"/>
        <w:spacing w:before="200" w:after="80"/>
      </w:pPr>
      <w:r>
        <w:rPr>
          <w:rFonts w:ascii="Calibri" w:hAnsi="Calibri"/>
          <w:b/>
          <w:color w:val="0D9488"/>
          <w:sz w:val="26"/>
        </w:rPr>
        <w:t>Dataset Characteristics &amp; Schema Definition</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016"/>
            <w:shd w:fill="0F2A4A"/>
            <w:tcMar>
              <w:top w:w="100" w:type="dxa"/>
              <w:bottom w:w="100" w:type="dxa"/>
              <w:left w:w="120" w:type="dxa"/>
              <w:right w:w="120" w:type="dxa"/>
            </w:tcMar>
          </w:tcPr>
          <w:p>
            <w:pPr>
              <w:spacing w:before="40" w:after="40"/>
            </w:pPr>
            <w:r>
              <w:rPr>
                <w:rFonts w:ascii="Calibri" w:hAnsi="Calibri"/>
                <w:b/>
                <w:color w:val="FFFFFF"/>
                <w:sz w:val="19"/>
              </w:rPr>
              <w:t>Attribute Name</w:t>
            </w:r>
          </w:p>
        </w:tc>
        <w:tc>
          <w:tcPr>
            <w:tcW w:type="dxa" w:w="1728"/>
            <w:shd w:fill="0F2A4A"/>
            <w:tcMar>
              <w:top w:w="100" w:type="dxa"/>
              <w:bottom w:w="100" w:type="dxa"/>
              <w:left w:w="120" w:type="dxa"/>
              <w:right w:w="120" w:type="dxa"/>
            </w:tcMar>
          </w:tcPr>
          <w:p>
            <w:pPr>
              <w:spacing w:before="40" w:after="40"/>
            </w:pPr>
            <w:r>
              <w:rPr>
                <w:rFonts w:ascii="Calibri" w:hAnsi="Calibri"/>
                <w:b/>
                <w:color w:val="FFFFFF"/>
                <w:sz w:val="19"/>
              </w:rPr>
              <w:t>Raw Data Type</w:t>
            </w:r>
          </w:p>
        </w:tc>
        <w:tc>
          <w:tcPr>
            <w:tcW w:type="dxa" w:w="2016"/>
            <w:shd w:fill="0F2A4A"/>
            <w:tcMar>
              <w:top w:w="100" w:type="dxa"/>
              <w:bottom w:w="100" w:type="dxa"/>
              <w:left w:w="120" w:type="dxa"/>
              <w:right w:w="120" w:type="dxa"/>
            </w:tcMar>
          </w:tcPr>
          <w:p>
            <w:pPr>
              <w:spacing w:before="40" w:after="40"/>
            </w:pPr>
            <w:r>
              <w:rPr>
                <w:rFonts w:ascii="Calibri" w:hAnsi="Calibri"/>
                <w:b/>
                <w:color w:val="FFFFFF"/>
                <w:sz w:val="19"/>
              </w:rPr>
              <w:t>Target Domain / Format</w:t>
            </w:r>
          </w:p>
        </w:tc>
        <w:tc>
          <w:tcPr>
            <w:tcW w:type="dxa" w:w="3600"/>
            <w:shd w:fill="0F2A4A"/>
            <w:tcMar>
              <w:top w:w="100" w:type="dxa"/>
              <w:bottom w:w="100" w:type="dxa"/>
              <w:left w:w="120" w:type="dxa"/>
              <w:right w:w="120" w:type="dxa"/>
            </w:tcMar>
          </w:tcPr>
          <w:p>
            <w:pPr>
              <w:spacing w:before="40" w:after="40"/>
            </w:pPr>
            <w:r>
              <w:rPr>
                <w:rFonts w:ascii="Calibri" w:hAnsi="Calibri"/>
                <w:b/>
                <w:color w:val="FFFFFF"/>
                <w:sz w:val="19"/>
              </w:rPr>
              <w:t>Business Description</w:t>
            </w:r>
          </w:p>
        </w:tc>
      </w:tr>
      <w:tr>
        <w:tc>
          <w:tcPr>
            <w:tcW w:type="dxa" w:w="2016"/>
            <w:shd w:fill="FFFFFF"/>
            <w:tcMar>
              <w:top w:w="80" w:type="dxa"/>
              <w:bottom w:w="80" w:type="dxa"/>
              <w:left w:w="120" w:type="dxa"/>
              <w:right w:w="120" w:type="dxa"/>
            </w:tcMar>
          </w:tcPr>
          <w:p>
            <w:pPr>
              <w:spacing w:before="40" w:after="40"/>
            </w:pPr>
            <w:r>
              <w:rPr>
                <w:rFonts w:ascii="Calibri" w:hAnsi="Calibri"/>
                <w:color w:val="334155"/>
                <w:sz w:val="18"/>
              </w:rPr>
              <w:t>delivery_id</w:t>
            </w:r>
          </w:p>
        </w:tc>
        <w:tc>
          <w:tcPr>
            <w:tcW w:type="dxa" w:w="1728"/>
            <w:shd w:fill="FFFFFF"/>
            <w:tcMar>
              <w:top w:w="80" w:type="dxa"/>
              <w:bottom w:w="80" w:type="dxa"/>
              <w:left w:w="120" w:type="dxa"/>
              <w:right w:w="120" w:type="dxa"/>
            </w:tcMar>
          </w:tcPr>
          <w:p>
            <w:pPr>
              <w:spacing w:before="40" w:after="40"/>
            </w:pPr>
            <w:r>
              <w:rPr>
                <w:rFonts w:ascii="Calibri" w:hAnsi="Calibri"/>
                <w:color w:val="334155"/>
                <w:sz w:val="18"/>
              </w:rPr>
              <w:t>float64</w:t>
            </w:r>
          </w:p>
        </w:tc>
        <w:tc>
          <w:tcPr>
            <w:tcW w:type="dxa" w:w="2016"/>
            <w:shd w:fill="FFFFFF"/>
            <w:tcMar>
              <w:top w:w="80" w:type="dxa"/>
              <w:bottom w:w="80" w:type="dxa"/>
              <w:left w:w="120" w:type="dxa"/>
              <w:right w:w="120" w:type="dxa"/>
            </w:tcMar>
          </w:tcPr>
          <w:p>
            <w:pPr>
              <w:spacing w:before="40" w:after="40"/>
            </w:pPr>
            <w:r>
              <w:rPr>
                <w:rFonts w:ascii="Calibri" w:hAnsi="Calibri"/>
                <w:color w:val="334155"/>
                <w:sz w:val="18"/>
              </w:rPr>
              <w:t>String Surrogate UUID</w:t>
            </w:r>
          </w:p>
        </w:tc>
        <w:tc>
          <w:tcPr>
            <w:tcW w:type="dxa" w:w="3600"/>
            <w:shd w:fill="FFFFFF"/>
            <w:tcMar>
              <w:top w:w="80" w:type="dxa"/>
              <w:bottom w:w="80" w:type="dxa"/>
              <w:left w:w="120" w:type="dxa"/>
              <w:right w:w="120" w:type="dxa"/>
            </w:tcMar>
          </w:tcPr>
          <w:p>
            <w:pPr>
              <w:spacing w:before="40" w:after="40"/>
            </w:pPr>
            <w:r>
              <w:rPr>
                <w:rFonts w:ascii="Calibri" w:hAnsi="Calibri"/>
                <w:color w:val="334155"/>
                <w:sz w:val="18"/>
              </w:rPr>
              <w:t>Dispatch tracking key with duplicate/formatting anomalies</w:t>
            </w:r>
          </w:p>
        </w:tc>
      </w:tr>
      <w:tr>
        <w:tc>
          <w:tcPr>
            <w:tcW w:type="dxa" w:w="2016"/>
            <w:shd w:fill="F8FAFC"/>
            <w:tcMar>
              <w:top w:w="80" w:type="dxa"/>
              <w:bottom w:w="80" w:type="dxa"/>
              <w:left w:w="120" w:type="dxa"/>
              <w:right w:w="120" w:type="dxa"/>
            </w:tcMar>
          </w:tcPr>
          <w:p>
            <w:pPr>
              <w:spacing w:before="40" w:after="40"/>
            </w:pPr>
            <w:r>
              <w:rPr>
                <w:rFonts w:ascii="Calibri" w:hAnsi="Calibri"/>
                <w:color w:val="334155"/>
                <w:sz w:val="18"/>
              </w:rPr>
              <w:t>delivery_partner</w:t>
            </w:r>
          </w:p>
        </w:tc>
        <w:tc>
          <w:tcPr>
            <w:tcW w:type="dxa" w:w="1728"/>
            <w:shd w:fill="F8FAFC"/>
            <w:tcMar>
              <w:top w:w="80" w:type="dxa"/>
              <w:bottom w:w="80" w:type="dxa"/>
              <w:left w:w="120" w:type="dxa"/>
              <w:right w:w="120" w:type="dxa"/>
            </w:tcMar>
          </w:tcPr>
          <w:p>
            <w:pPr>
              <w:spacing w:before="40" w:after="40"/>
            </w:pPr>
            <w:r>
              <w:rPr>
                <w:rFonts w:ascii="Calibri" w:hAnsi="Calibri"/>
                <w:color w:val="334155"/>
                <w:sz w:val="18"/>
              </w:rPr>
              <w:t>object (str)</w:t>
            </w:r>
          </w:p>
        </w:tc>
        <w:tc>
          <w:tcPr>
            <w:tcW w:type="dxa" w:w="2016"/>
            <w:shd w:fill="F8FAFC"/>
            <w:tcMar>
              <w:top w:w="80" w:type="dxa"/>
              <w:bottom w:w="80" w:type="dxa"/>
              <w:left w:w="120" w:type="dxa"/>
              <w:right w:w="120" w:type="dxa"/>
            </w:tcMar>
          </w:tcPr>
          <w:p>
            <w:pPr>
              <w:spacing w:before="40" w:after="40"/>
            </w:pPr>
            <w:r>
              <w:rPr>
                <w:rFonts w:ascii="Calibri" w:hAnsi="Calibri"/>
                <w:color w:val="334155"/>
                <w:sz w:val="18"/>
              </w:rPr>
              <w:t>Categorical (9 classes)</w:t>
            </w:r>
          </w:p>
        </w:tc>
        <w:tc>
          <w:tcPr>
            <w:tcW w:type="dxa" w:w="3600"/>
            <w:shd w:fill="F8FAFC"/>
            <w:tcMar>
              <w:top w:w="80" w:type="dxa"/>
              <w:bottom w:w="80" w:type="dxa"/>
              <w:left w:w="120" w:type="dxa"/>
              <w:right w:w="120" w:type="dxa"/>
            </w:tcMar>
          </w:tcPr>
          <w:p>
            <w:pPr>
              <w:spacing w:before="40" w:after="40"/>
            </w:pPr>
            <w:r>
              <w:rPr>
                <w:rFonts w:ascii="Calibri" w:hAnsi="Calibri"/>
                <w:color w:val="334155"/>
                <w:sz w:val="18"/>
              </w:rPr>
              <w:t>3PL carrier (Delhivery, Blue Dart, Xpressbees, Shadowfax, etc.)</w:t>
            </w:r>
          </w:p>
        </w:tc>
      </w:tr>
      <w:tr>
        <w:tc>
          <w:tcPr>
            <w:tcW w:type="dxa" w:w="2016"/>
            <w:shd w:fill="FFFFFF"/>
            <w:tcMar>
              <w:top w:w="80" w:type="dxa"/>
              <w:bottom w:w="80" w:type="dxa"/>
              <w:left w:w="120" w:type="dxa"/>
              <w:right w:w="120" w:type="dxa"/>
            </w:tcMar>
          </w:tcPr>
          <w:p>
            <w:pPr>
              <w:spacing w:before="40" w:after="40"/>
            </w:pPr>
            <w:r>
              <w:rPr>
                <w:rFonts w:ascii="Calibri" w:hAnsi="Calibri"/>
                <w:color w:val="334155"/>
                <w:sz w:val="18"/>
              </w:rPr>
              <w:t>package_type</w:t>
            </w:r>
          </w:p>
        </w:tc>
        <w:tc>
          <w:tcPr>
            <w:tcW w:type="dxa" w:w="1728"/>
            <w:shd w:fill="FFFFFF"/>
            <w:tcMar>
              <w:top w:w="80" w:type="dxa"/>
              <w:bottom w:w="80" w:type="dxa"/>
              <w:left w:w="120" w:type="dxa"/>
              <w:right w:w="120" w:type="dxa"/>
            </w:tcMar>
          </w:tcPr>
          <w:p>
            <w:pPr>
              <w:spacing w:before="40" w:after="40"/>
            </w:pPr>
            <w:r>
              <w:rPr>
                <w:rFonts w:ascii="Calibri" w:hAnsi="Calibri"/>
                <w:color w:val="334155"/>
                <w:sz w:val="18"/>
              </w:rPr>
              <w:t>object (str)</w:t>
            </w:r>
          </w:p>
        </w:tc>
        <w:tc>
          <w:tcPr>
            <w:tcW w:type="dxa" w:w="2016"/>
            <w:shd w:fill="FFFFFF"/>
            <w:tcMar>
              <w:top w:w="80" w:type="dxa"/>
              <w:bottom w:w="80" w:type="dxa"/>
              <w:left w:w="120" w:type="dxa"/>
              <w:right w:w="120" w:type="dxa"/>
            </w:tcMar>
          </w:tcPr>
          <w:p>
            <w:pPr>
              <w:spacing w:before="40" w:after="40"/>
            </w:pPr>
            <w:r>
              <w:rPr>
                <w:rFonts w:ascii="Calibri" w:hAnsi="Calibri"/>
                <w:color w:val="334155"/>
                <w:sz w:val="18"/>
              </w:rPr>
              <w:t>Categorical (9 types)</w:t>
            </w:r>
          </w:p>
        </w:tc>
        <w:tc>
          <w:tcPr>
            <w:tcW w:type="dxa" w:w="3600"/>
            <w:shd w:fill="FFFFFF"/>
            <w:tcMar>
              <w:top w:w="80" w:type="dxa"/>
              <w:bottom w:w="80" w:type="dxa"/>
              <w:left w:w="120" w:type="dxa"/>
              <w:right w:w="120" w:type="dxa"/>
            </w:tcMar>
          </w:tcPr>
          <w:p>
            <w:pPr>
              <w:spacing w:before="40" w:after="40"/>
            </w:pPr>
            <w:r>
              <w:rPr>
                <w:rFonts w:ascii="Calibri" w:hAnsi="Calibri"/>
                <w:color w:val="334155"/>
                <w:sz w:val="18"/>
              </w:rPr>
              <w:t>Merchandise class (Electronics, Pharmacy, Fragile, Groceries)</w:t>
            </w:r>
          </w:p>
        </w:tc>
      </w:tr>
      <w:tr>
        <w:tc>
          <w:tcPr>
            <w:tcW w:type="dxa" w:w="2016"/>
            <w:shd w:fill="F8FAFC"/>
            <w:tcMar>
              <w:top w:w="80" w:type="dxa"/>
              <w:bottom w:w="80" w:type="dxa"/>
              <w:left w:w="120" w:type="dxa"/>
              <w:right w:w="120" w:type="dxa"/>
            </w:tcMar>
          </w:tcPr>
          <w:p>
            <w:pPr>
              <w:spacing w:before="40" w:after="40"/>
            </w:pPr>
            <w:r>
              <w:rPr>
                <w:rFonts w:ascii="Calibri" w:hAnsi="Calibri"/>
                <w:color w:val="334155"/>
                <w:sz w:val="18"/>
              </w:rPr>
              <w:t>vehicle_type</w:t>
            </w:r>
          </w:p>
        </w:tc>
        <w:tc>
          <w:tcPr>
            <w:tcW w:type="dxa" w:w="1728"/>
            <w:shd w:fill="F8FAFC"/>
            <w:tcMar>
              <w:top w:w="80" w:type="dxa"/>
              <w:bottom w:w="80" w:type="dxa"/>
              <w:left w:w="120" w:type="dxa"/>
              <w:right w:w="120" w:type="dxa"/>
            </w:tcMar>
          </w:tcPr>
          <w:p>
            <w:pPr>
              <w:spacing w:before="40" w:after="40"/>
            </w:pPr>
            <w:r>
              <w:rPr>
                <w:rFonts w:ascii="Calibri" w:hAnsi="Calibri"/>
                <w:color w:val="334155"/>
                <w:sz w:val="18"/>
              </w:rPr>
              <w:t>object (str)</w:t>
            </w:r>
          </w:p>
        </w:tc>
        <w:tc>
          <w:tcPr>
            <w:tcW w:type="dxa" w:w="2016"/>
            <w:shd w:fill="F8FAFC"/>
            <w:tcMar>
              <w:top w:w="80" w:type="dxa"/>
              <w:bottom w:w="80" w:type="dxa"/>
              <w:left w:w="120" w:type="dxa"/>
              <w:right w:w="120" w:type="dxa"/>
            </w:tcMar>
          </w:tcPr>
          <w:p>
            <w:pPr>
              <w:spacing w:before="40" w:after="40"/>
            </w:pPr>
            <w:r>
              <w:rPr>
                <w:rFonts w:ascii="Calibri" w:hAnsi="Calibri"/>
                <w:color w:val="334155"/>
                <w:sz w:val="18"/>
              </w:rPr>
              <w:t>Categorical (6 types)</w:t>
            </w:r>
          </w:p>
        </w:tc>
        <w:tc>
          <w:tcPr>
            <w:tcW w:type="dxa" w:w="3600"/>
            <w:shd w:fill="F8FAFC"/>
            <w:tcMar>
              <w:top w:w="80" w:type="dxa"/>
              <w:bottom w:w="80" w:type="dxa"/>
              <w:left w:w="120" w:type="dxa"/>
              <w:right w:w="120" w:type="dxa"/>
            </w:tcMar>
          </w:tcPr>
          <w:p>
            <w:pPr>
              <w:spacing w:before="40" w:after="40"/>
            </w:pPr>
            <w:r>
              <w:rPr>
                <w:rFonts w:ascii="Calibri" w:hAnsi="Calibri"/>
                <w:color w:val="334155"/>
                <w:sz w:val="18"/>
              </w:rPr>
              <w:t>Transport mode (Bike, EV Bike, Scooter, Van, EV Van, Truck)</w:t>
            </w:r>
          </w:p>
        </w:tc>
      </w:tr>
      <w:tr>
        <w:tc>
          <w:tcPr>
            <w:tcW w:type="dxa" w:w="2016"/>
            <w:shd w:fill="FFFFFF"/>
            <w:tcMar>
              <w:top w:w="80" w:type="dxa"/>
              <w:bottom w:w="80" w:type="dxa"/>
              <w:left w:w="120" w:type="dxa"/>
              <w:right w:w="120" w:type="dxa"/>
            </w:tcMar>
          </w:tcPr>
          <w:p>
            <w:pPr>
              <w:spacing w:before="40" w:after="40"/>
            </w:pPr>
            <w:r>
              <w:rPr>
                <w:rFonts w:ascii="Calibri" w:hAnsi="Calibri"/>
                <w:color w:val="334155"/>
                <w:sz w:val="18"/>
              </w:rPr>
              <w:t>delivery_mode</w:t>
            </w:r>
          </w:p>
        </w:tc>
        <w:tc>
          <w:tcPr>
            <w:tcW w:type="dxa" w:w="1728"/>
            <w:shd w:fill="FFFFFF"/>
            <w:tcMar>
              <w:top w:w="80" w:type="dxa"/>
              <w:bottom w:w="80" w:type="dxa"/>
              <w:left w:w="120" w:type="dxa"/>
              <w:right w:w="120" w:type="dxa"/>
            </w:tcMar>
          </w:tcPr>
          <w:p>
            <w:pPr>
              <w:spacing w:before="40" w:after="40"/>
            </w:pPr>
            <w:r>
              <w:rPr>
                <w:rFonts w:ascii="Calibri" w:hAnsi="Calibri"/>
                <w:color w:val="334155"/>
                <w:sz w:val="18"/>
              </w:rPr>
              <w:t>object (str)</w:t>
            </w:r>
          </w:p>
        </w:tc>
        <w:tc>
          <w:tcPr>
            <w:tcW w:type="dxa" w:w="2016"/>
            <w:shd w:fill="FFFFFF"/>
            <w:tcMar>
              <w:top w:w="80" w:type="dxa"/>
              <w:bottom w:w="80" w:type="dxa"/>
              <w:left w:w="120" w:type="dxa"/>
              <w:right w:w="120" w:type="dxa"/>
            </w:tcMar>
          </w:tcPr>
          <w:p>
            <w:pPr>
              <w:spacing w:before="40" w:after="40"/>
            </w:pPr>
            <w:r>
              <w:rPr>
                <w:rFonts w:ascii="Calibri" w:hAnsi="Calibri"/>
                <w:color w:val="334155"/>
                <w:sz w:val="18"/>
              </w:rPr>
              <w:t>Ordinal (4 levels)</w:t>
            </w:r>
          </w:p>
        </w:tc>
        <w:tc>
          <w:tcPr>
            <w:tcW w:type="dxa" w:w="3600"/>
            <w:shd w:fill="FFFFFF"/>
            <w:tcMar>
              <w:top w:w="80" w:type="dxa"/>
              <w:bottom w:w="80" w:type="dxa"/>
              <w:left w:w="120" w:type="dxa"/>
              <w:right w:w="120" w:type="dxa"/>
            </w:tcMar>
          </w:tcPr>
          <w:p>
            <w:pPr>
              <w:spacing w:before="40" w:after="40"/>
            </w:pPr>
            <w:r>
              <w:rPr>
                <w:rFonts w:ascii="Calibri" w:hAnsi="Calibri"/>
                <w:color w:val="334155"/>
                <w:sz w:val="18"/>
              </w:rPr>
              <w:t>Service contract tier (Same Day, Express, Two Day, Standard)</w:t>
            </w:r>
          </w:p>
        </w:tc>
      </w:tr>
      <w:tr>
        <w:tc>
          <w:tcPr>
            <w:tcW w:type="dxa" w:w="2016"/>
            <w:shd w:fill="F8FAFC"/>
            <w:tcMar>
              <w:top w:w="80" w:type="dxa"/>
              <w:bottom w:w="80" w:type="dxa"/>
              <w:left w:w="120" w:type="dxa"/>
              <w:right w:w="120" w:type="dxa"/>
            </w:tcMar>
          </w:tcPr>
          <w:p>
            <w:pPr>
              <w:spacing w:before="40" w:after="40"/>
            </w:pPr>
            <w:r>
              <w:rPr>
                <w:rFonts w:ascii="Calibri" w:hAnsi="Calibri"/>
                <w:color w:val="334155"/>
                <w:sz w:val="18"/>
              </w:rPr>
              <w:t>region</w:t>
            </w:r>
          </w:p>
        </w:tc>
        <w:tc>
          <w:tcPr>
            <w:tcW w:type="dxa" w:w="1728"/>
            <w:shd w:fill="F8FAFC"/>
            <w:tcMar>
              <w:top w:w="80" w:type="dxa"/>
              <w:bottom w:w="80" w:type="dxa"/>
              <w:left w:w="120" w:type="dxa"/>
              <w:right w:w="120" w:type="dxa"/>
            </w:tcMar>
          </w:tcPr>
          <w:p>
            <w:pPr>
              <w:spacing w:before="40" w:after="40"/>
            </w:pPr>
            <w:r>
              <w:rPr>
                <w:rFonts w:ascii="Calibri" w:hAnsi="Calibri"/>
                <w:color w:val="334155"/>
                <w:sz w:val="18"/>
              </w:rPr>
              <w:t>object (str)</w:t>
            </w:r>
          </w:p>
        </w:tc>
        <w:tc>
          <w:tcPr>
            <w:tcW w:type="dxa" w:w="2016"/>
            <w:shd w:fill="F8FAFC"/>
            <w:tcMar>
              <w:top w:w="80" w:type="dxa"/>
              <w:bottom w:w="80" w:type="dxa"/>
              <w:left w:w="120" w:type="dxa"/>
              <w:right w:w="120" w:type="dxa"/>
            </w:tcMar>
          </w:tcPr>
          <w:p>
            <w:pPr>
              <w:spacing w:before="40" w:after="40"/>
            </w:pPr>
            <w:r>
              <w:rPr>
                <w:rFonts w:ascii="Calibri" w:hAnsi="Calibri"/>
                <w:color w:val="334155"/>
                <w:sz w:val="18"/>
              </w:rPr>
              <w:t>Categorical (5 zones)</w:t>
            </w:r>
          </w:p>
        </w:tc>
        <w:tc>
          <w:tcPr>
            <w:tcW w:type="dxa" w:w="3600"/>
            <w:shd w:fill="F8FAFC"/>
            <w:tcMar>
              <w:top w:w="80" w:type="dxa"/>
              <w:bottom w:w="80" w:type="dxa"/>
              <w:left w:w="120" w:type="dxa"/>
              <w:right w:w="120" w:type="dxa"/>
            </w:tcMar>
          </w:tcPr>
          <w:p>
            <w:pPr>
              <w:spacing w:before="40" w:after="40"/>
            </w:pPr>
            <w:r>
              <w:rPr>
                <w:rFonts w:ascii="Calibri" w:hAnsi="Calibri"/>
                <w:color w:val="334155"/>
                <w:sz w:val="18"/>
              </w:rPr>
              <w:t>Indian economic zone (North, South, East, West, Central)</w:t>
            </w:r>
          </w:p>
        </w:tc>
      </w:tr>
      <w:tr>
        <w:tc>
          <w:tcPr>
            <w:tcW w:type="dxa" w:w="2016"/>
            <w:shd w:fill="FFFFFF"/>
            <w:tcMar>
              <w:top w:w="80" w:type="dxa"/>
              <w:bottom w:w="80" w:type="dxa"/>
              <w:left w:w="120" w:type="dxa"/>
              <w:right w:w="120" w:type="dxa"/>
            </w:tcMar>
          </w:tcPr>
          <w:p>
            <w:pPr>
              <w:spacing w:before="40" w:after="40"/>
            </w:pPr>
            <w:r>
              <w:rPr>
                <w:rFonts w:ascii="Calibri" w:hAnsi="Calibri"/>
                <w:color w:val="334155"/>
                <w:sz w:val="18"/>
              </w:rPr>
              <w:t>weather_condition</w:t>
            </w:r>
          </w:p>
        </w:tc>
        <w:tc>
          <w:tcPr>
            <w:tcW w:type="dxa" w:w="1728"/>
            <w:shd w:fill="FFFFFF"/>
            <w:tcMar>
              <w:top w:w="80" w:type="dxa"/>
              <w:bottom w:w="80" w:type="dxa"/>
              <w:left w:w="120" w:type="dxa"/>
              <w:right w:w="120" w:type="dxa"/>
            </w:tcMar>
          </w:tcPr>
          <w:p>
            <w:pPr>
              <w:spacing w:before="40" w:after="40"/>
            </w:pPr>
            <w:r>
              <w:rPr>
                <w:rFonts w:ascii="Calibri" w:hAnsi="Calibri"/>
                <w:color w:val="334155"/>
                <w:sz w:val="18"/>
              </w:rPr>
              <w:t>object (str)</w:t>
            </w:r>
          </w:p>
        </w:tc>
        <w:tc>
          <w:tcPr>
            <w:tcW w:type="dxa" w:w="2016"/>
            <w:shd w:fill="FFFFFF"/>
            <w:tcMar>
              <w:top w:w="80" w:type="dxa"/>
              <w:bottom w:w="80" w:type="dxa"/>
              <w:left w:w="120" w:type="dxa"/>
              <w:right w:w="120" w:type="dxa"/>
            </w:tcMar>
          </w:tcPr>
          <w:p>
            <w:pPr>
              <w:spacing w:before="40" w:after="40"/>
            </w:pPr>
            <w:r>
              <w:rPr>
                <w:rFonts w:ascii="Calibri" w:hAnsi="Calibri"/>
                <w:color w:val="334155"/>
                <w:sz w:val="18"/>
              </w:rPr>
              <w:t>Categorical (6 states)</w:t>
            </w:r>
          </w:p>
        </w:tc>
        <w:tc>
          <w:tcPr>
            <w:tcW w:type="dxa" w:w="3600"/>
            <w:shd w:fill="FFFFFF"/>
            <w:tcMar>
              <w:top w:w="80" w:type="dxa"/>
              <w:bottom w:w="80" w:type="dxa"/>
              <w:left w:w="120" w:type="dxa"/>
              <w:right w:w="120" w:type="dxa"/>
            </w:tcMar>
          </w:tcPr>
          <w:p>
            <w:pPr>
              <w:spacing w:before="40" w:after="40"/>
            </w:pPr>
            <w:r>
              <w:rPr>
                <w:rFonts w:ascii="Calibri" w:hAnsi="Calibri"/>
                <w:color w:val="334155"/>
                <w:sz w:val="18"/>
              </w:rPr>
              <w:t>Meteorological state (Clear, Hot, Cold, Foggy, Rainy, Stormy)</w:t>
            </w:r>
          </w:p>
        </w:tc>
      </w:tr>
      <w:tr>
        <w:tc>
          <w:tcPr>
            <w:tcW w:type="dxa" w:w="2016"/>
            <w:shd w:fill="F8FAFC"/>
            <w:tcMar>
              <w:top w:w="80" w:type="dxa"/>
              <w:bottom w:w="80" w:type="dxa"/>
              <w:left w:w="120" w:type="dxa"/>
              <w:right w:w="120" w:type="dxa"/>
            </w:tcMar>
          </w:tcPr>
          <w:p>
            <w:pPr>
              <w:spacing w:before="40" w:after="40"/>
            </w:pPr>
            <w:r>
              <w:rPr>
                <w:rFonts w:ascii="Calibri" w:hAnsi="Calibri"/>
                <w:color w:val="334155"/>
                <w:sz w:val="18"/>
              </w:rPr>
              <w:t>distance_km</w:t>
            </w:r>
          </w:p>
        </w:tc>
        <w:tc>
          <w:tcPr>
            <w:tcW w:type="dxa" w:w="1728"/>
            <w:shd w:fill="F8FAFC"/>
            <w:tcMar>
              <w:top w:w="80" w:type="dxa"/>
              <w:bottom w:w="80" w:type="dxa"/>
              <w:left w:w="120" w:type="dxa"/>
              <w:right w:w="120" w:type="dxa"/>
            </w:tcMar>
          </w:tcPr>
          <w:p>
            <w:pPr>
              <w:spacing w:before="40" w:after="40"/>
            </w:pPr>
            <w:r>
              <w:rPr>
                <w:rFonts w:ascii="Calibri" w:hAnsi="Calibri"/>
                <w:color w:val="334155"/>
                <w:sz w:val="18"/>
              </w:rPr>
              <w:t>float64</w:t>
            </w:r>
          </w:p>
        </w:tc>
        <w:tc>
          <w:tcPr>
            <w:tcW w:type="dxa" w:w="2016"/>
            <w:shd w:fill="F8FAFC"/>
            <w:tcMar>
              <w:top w:w="80" w:type="dxa"/>
              <w:bottom w:w="80" w:type="dxa"/>
              <w:left w:w="120" w:type="dxa"/>
              <w:right w:w="120" w:type="dxa"/>
            </w:tcMar>
          </w:tcPr>
          <w:p>
            <w:pPr>
              <w:spacing w:before="40" w:after="40"/>
            </w:pPr>
            <w:r>
              <w:rPr>
                <w:rFonts w:ascii="Calibri" w:hAnsi="Calibri"/>
                <w:color w:val="334155"/>
                <w:sz w:val="18"/>
              </w:rPr>
              <w:t>Continuous (km)</w:t>
            </w:r>
          </w:p>
        </w:tc>
        <w:tc>
          <w:tcPr>
            <w:tcW w:type="dxa" w:w="3600"/>
            <w:shd w:fill="F8FAFC"/>
            <w:tcMar>
              <w:top w:w="80" w:type="dxa"/>
              <w:bottom w:w="80" w:type="dxa"/>
              <w:left w:w="120" w:type="dxa"/>
              <w:right w:w="120" w:type="dxa"/>
            </w:tcMar>
          </w:tcPr>
          <w:p>
            <w:pPr>
              <w:spacing w:before="40" w:after="40"/>
            </w:pPr>
            <w:r>
              <w:rPr>
                <w:rFonts w:ascii="Calibri" w:hAnsi="Calibri"/>
                <w:color w:val="334155"/>
                <w:sz w:val="18"/>
              </w:rPr>
              <w:t>Transit distance from origin fulfillment center to destination node</w:t>
            </w:r>
          </w:p>
        </w:tc>
      </w:tr>
      <w:tr>
        <w:tc>
          <w:tcPr>
            <w:tcW w:type="dxa" w:w="2016"/>
            <w:shd w:fill="FFFFFF"/>
            <w:tcMar>
              <w:top w:w="80" w:type="dxa"/>
              <w:bottom w:w="80" w:type="dxa"/>
              <w:left w:w="120" w:type="dxa"/>
              <w:right w:w="120" w:type="dxa"/>
            </w:tcMar>
          </w:tcPr>
          <w:p>
            <w:pPr>
              <w:spacing w:before="40" w:after="40"/>
            </w:pPr>
            <w:r>
              <w:rPr>
                <w:rFonts w:ascii="Calibri" w:hAnsi="Calibri"/>
                <w:color w:val="334155"/>
                <w:sz w:val="18"/>
              </w:rPr>
              <w:t>package_weight_kg</w:t>
            </w:r>
          </w:p>
        </w:tc>
        <w:tc>
          <w:tcPr>
            <w:tcW w:type="dxa" w:w="1728"/>
            <w:shd w:fill="FFFFFF"/>
            <w:tcMar>
              <w:top w:w="80" w:type="dxa"/>
              <w:bottom w:w="80" w:type="dxa"/>
              <w:left w:w="120" w:type="dxa"/>
              <w:right w:w="120" w:type="dxa"/>
            </w:tcMar>
          </w:tcPr>
          <w:p>
            <w:pPr>
              <w:spacing w:before="40" w:after="40"/>
            </w:pPr>
            <w:r>
              <w:rPr>
                <w:rFonts w:ascii="Calibri" w:hAnsi="Calibri"/>
                <w:color w:val="334155"/>
                <w:sz w:val="18"/>
              </w:rPr>
              <w:t>float64</w:t>
            </w:r>
          </w:p>
        </w:tc>
        <w:tc>
          <w:tcPr>
            <w:tcW w:type="dxa" w:w="2016"/>
            <w:shd w:fill="FFFFFF"/>
            <w:tcMar>
              <w:top w:w="80" w:type="dxa"/>
              <w:bottom w:w="80" w:type="dxa"/>
              <w:left w:w="120" w:type="dxa"/>
              <w:right w:w="120" w:type="dxa"/>
            </w:tcMar>
          </w:tcPr>
          <w:p>
            <w:pPr>
              <w:spacing w:before="40" w:after="40"/>
            </w:pPr>
            <w:r>
              <w:rPr>
                <w:rFonts w:ascii="Calibri" w:hAnsi="Calibri"/>
                <w:color w:val="334155"/>
                <w:sz w:val="18"/>
              </w:rPr>
              <w:t>Continuous (kg)</w:t>
            </w:r>
          </w:p>
        </w:tc>
        <w:tc>
          <w:tcPr>
            <w:tcW w:type="dxa" w:w="3600"/>
            <w:shd w:fill="FFFFFF"/>
            <w:tcMar>
              <w:top w:w="80" w:type="dxa"/>
              <w:bottom w:w="80" w:type="dxa"/>
              <w:left w:w="120" w:type="dxa"/>
              <w:right w:w="120" w:type="dxa"/>
            </w:tcMar>
          </w:tcPr>
          <w:p>
            <w:pPr>
              <w:spacing w:before="40" w:after="40"/>
            </w:pPr>
            <w:r>
              <w:rPr>
                <w:rFonts w:ascii="Calibri" w:hAnsi="Calibri"/>
                <w:color w:val="334155"/>
                <w:sz w:val="18"/>
              </w:rPr>
              <w:t>Consignment physical weight (0.67 kg to 49.52 kg)</w:t>
            </w:r>
          </w:p>
        </w:tc>
      </w:tr>
      <w:tr>
        <w:tc>
          <w:tcPr>
            <w:tcW w:type="dxa" w:w="2016"/>
            <w:shd w:fill="F8FAFC"/>
            <w:tcMar>
              <w:top w:w="80" w:type="dxa"/>
              <w:bottom w:w="80" w:type="dxa"/>
              <w:left w:w="120" w:type="dxa"/>
              <w:right w:w="120" w:type="dxa"/>
            </w:tcMar>
          </w:tcPr>
          <w:p>
            <w:pPr>
              <w:spacing w:before="40" w:after="40"/>
            </w:pPr>
            <w:r>
              <w:rPr>
                <w:rFonts w:ascii="Calibri" w:hAnsi="Calibri"/>
                <w:color w:val="334155"/>
                <w:sz w:val="18"/>
              </w:rPr>
              <w:t>delivery_cost</w:t>
            </w:r>
          </w:p>
        </w:tc>
        <w:tc>
          <w:tcPr>
            <w:tcW w:type="dxa" w:w="1728"/>
            <w:shd w:fill="F8FAFC"/>
            <w:tcMar>
              <w:top w:w="80" w:type="dxa"/>
              <w:bottom w:w="80" w:type="dxa"/>
              <w:left w:w="120" w:type="dxa"/>
              <w:right w:w="120" w:type="dxa"/>
            </w:tcMar>
          </w:tcPr>
          <w:p>
            <w:pPr>
              <w:spacing w:before="40" w:after="40"/>
            </w:pPr>
            <w:r>
              <w:rPr>
                <w:rFonts w:ascii="Calibri" w:hAnsi="Calibri"/>
                <w:color w:val="334155"/>
                <w:sz w:val="18"/>
              </w:rPr>
              <w:t>float64</w:t>
            </w:r>
          </w:p>
        </w:tc>
        <w:tc>
          <w:tcPr>
            <w:tcW w:type="dxa" w:w="2016"/>
            <w:shd w:fill="F8FAFC"/>
            <w:tcMar>
              <w:top w:w="80" w:type="dxa"/>
              <w:bottom w:w="80" w:type="dxa"/>
              <w:left w:w="120" w:type="dxa"/>
              <w:right w:w="120" w:type="dxa"/>
            </w:tcMar>
          </w:tcPr>
          <w:p>
            <w:pPr>
              <w:spacing w:before="40" w:after="40"/>
            </w:pPr>
            <w:r>
              <w:rPr>
                <w:rFonts w:ascii="Calibri" w:hAnsi="Calibri"/>
                <w:color w:val="334155"/>
                <w:sz w:val="18"/>
              </w:rPr>
              <w:t>Continuous (INR ₹)</w:t>
            </w:r>
          </w:p>
        </w:tc>
        <w:tc>
          <w:tcPr>
            <w:tcW w:type="dxa" w:w="3600"/>
            <w:shd w:fill="F8FAFC"/>
            <w:tcMar>
              <w:top w:w="80" w:type="dxa"/>
              <w:bottom w:w="80" w:type="dxa"/>
              <w:left w:w="120" w:type="dxa"/>
              <w:right w:w="120" w:type="dxa"/>
            </w:tcMar>
          </w:tcPr>
          <w:p>
            <w:pPr>
              <w:spacing w:before="40" w:after="40"/>
            </w:pPr>
            <w:r>
              <w:rPr>
                <w:rFonts w:ascii="Calibri" w:hAnsi="Calibri"/>
                <w:color w:val="334155"/>
                <w:sz w:val="18"/>
              </w:rPr>
              <w:t>Freight charges billed (₹95.67 to ₹1632.72)</w:t>
            </w:r>
          </w:p>
        </w:tc>
      </w:tr>
      <w:tr>
        <w:tc>
          <w:tcPr>
            <w:tcW w:type="dxa" w:w="2016"/>
            <w:shd w:fill="FFFFFF"/>
            <w:tcMar>
              <w:top w:w="80" w:type="dxa"/>
              <w:bottom w:w="80" w:type="dxa"/>
              <w:left w:w="120" w:type="dxa"/>
              <w:right w:w="120" w:type="dxa"/>
            </w:tcMar>
          </w:tcPr>
          <w:p>
            <w:pPr>
              <w:spacing w:before="40" w:after="40"/>
            </w:pPr>
            <w:r>
              <w:rPr>
                <w:rFonts w:ascii="Calibri" w:hAnsi="Calibri"/>
                <w:color w:val="334155"/>
                <w:sz w:val="18"/>
              </w:rPr>
              <w:t>delivery_status</w:t>
            </w:r>
          </w:p>
        </w:tc>
        <w:tc>
          <w:tcPr>
            <w:tcW w:type="dxa" w:w="1728"/>
            <w:shd w:fill="FFFFFF"/>
            <w:tcMar>
              <w:top w:w="80" w:type="dxa"/>
              <w:bottom w:w="80" w:type="dxa"/>
              <w:left w:w="120" w:type="dxa"/>
              <w:right w:w="120" w:type="dxa"/>
            </w:tcMar>
          </w:tcPr>
          <w:p>
            <w:pPr>
              <w:spacing w:before="40" w:after="40"/>
            </w:pPr>
            <w:r>
              <w:rPr>
                <w:rFonts w:ascii="Calibri" w:hAnsi="Calibri"/>
                <w:color w:val="334155"/>
                <w:sz w:val="18"/>
              </w:rPr>
              <w:t>object (str)</w:t>
            </w:r>
          </w:p>
        </w:tc>
        <w:tc>
          <w:tcPr>
            <w:tcW w:type="dxa" w:w="2016"/>
            <w:shd w:fill="FFFFFF"/>
            <w:tcMar>
              <w:top w:w="80" w:type="dxa"/>
              <w:bottom w:w="80" w:type="dxa"/>
              <w:left w:w="120" w:type="dxa"/>
              <w:right w:w="120" w:type="dxa"/>
            </w:tcMar>
          </w:tcPr>
          <w:p>
            <w:pPr>
              <w:spacing w:before="40" w:after="40"/>
            </w:pPr>
            <w:r>
              <w:rPr>
                <w:rFonts w:ascii="Calibri" w:hAnsi="Calibri"/>
                <w:color w:val="334155"/>
                <w:sz w:val="18"/>
              </w:rPr>
              <w:t>Categorical Target</w:t>
            </w:r>
          </w:p>
        </w:tc>
        <w:tc>
          <w:tcPr>
            <w:tcW w:type="dxa" w:w="3600"/>
            <w:shd w:fill="FFFFFF"/>
            <w:tcMar>
              <w:top w:w="80" w:type="dxa"/>
              <w:bottom w:w="80" w:type="dxa"/>
              <w:left w:w="120" w:type="dxa"/>
              <w:right w:w="120" w:type="dxa"/>
            </w:tcMar>
          </w:tcPr>
          <w:p>
            <w:pPr>
              <w:spacing w:before="40" w:after="40"/>
            </w:pPr>
            <w:r>
              <w:rPr>
                <w:rFonts w:ascii="Calibri" w:hAnsi="Calibri"/>
                <w:color w:val="334155"/>
                <w:sz w:val="18"/>
              </w:rPr>
              <w:t>Fulfillment outcome (Delivered, Delayed, Failed)</w:t>
            </w:r>
          </w:p>
        </w:tc>
      </w:tr>
    </w:tbl>
    <w:p>
      <w:pPr>
        <w:spacing w:after="80"/>
      </w:pPr>
    </w:p>
    <w:p>
      <w:pPr>
        <w:pStyle w:val="Heading1"/>
        <w:spacing w:before="280" w:after="120"/>
      </w:pPr>
      <w:r>
        <w:rPr>
          <w:rFonts w:ascii="Calibri" w:hAnsi="Calibri"/>
          <w:b/>
          <w:color w:val="0F2A4A"/>
          <w:sz w:val="32"/>
        </w:rPr>
        <w:t>2. Data Quality Audit &amp; Anomaly Profiling</w:t>
      </w:r>
    </w:p>
    <w:p>
      <w:pPr>
        <w:spacing w:before="0" w:after="120" w:line="276" w:lineRule="auto"/>
      </w:pPr>
      <w:r>
        <w:rPr>
          <w:rFonts w:ascii="Calibri" w:hAnsi="Calibri"/>
          <w:color w:val="1F2937"/>
          <w:sz w:val="21"/>
        </w:rPr>
        <w:t>Before feeding telemetry data into predictive routing or cost optimization models, a thorough diagnostic audit must be performed to detect syntactic errors, missing values, placeholder artifacts, duplicate tracking identifiers, and distributional anomalies.</w:t>
      </w:r>
    </w:p>
    <w:p>
      <w:r>
        <w:drawing>
          <wp:inline xmlns:a="http://schemas.openxmlformats.org/drawingml/2006/main" xmlns:pic="http://schemas.openxmlformats.org/drawingml/2006/picture">
            <wp:extent cx="5943600" cy="4226815"/>
            <wp:docPr id="2" name="Picture 2"/>
            <wp:cNvGraphicFramePr>
              <a:graphicFrameLocks noChangeAspect="1"/>
            </wp:cNvGraphicFramePr>
            <a:graphic>
              <a:graphicData uri="http://schemas.openxmlformats.org/drawingml/2006/picture">
                <pic:pic>
                  <pic:nvPicPr>
                    <pic:cNvPr id="0" name="data_quality_audit_matrix.png"/>
                    <pic:cNvPicPr/>
                  </pic:nvPicPr>
                  <pic:blipFill>
                    <a:blip r:embed="rId10"/>
                    <a:stretch>
                      <a:fillRect/>
                    </a:stretch>
                  </pic:blipFill>
                  <pic:spPr>
                    <a:xfrm>
                      <a:off x="0" y="0"/>
                      <a:ext cx="5943600" cy="4226815"/>
                    </a:xfrm>
                    <a:prstGeom prst="rect"/>
                  </pic:spPr>
                </pic:pic>
              </a:graphicData>
            </a:graphic>
          </wp:inline>
        </w:drawing>
      </w:r>
    </w:p>
    <w:p>
      <w:pPr>
        <w:spacing w:before="40" w:after="160"/>
        <w:jc w:val="center"/>
      </w:pPr>
      <w:r>
        <w:rPr>
          <w:rFonts w:ascii="Calibri" w:hAnsi="Calibri"/>
          <w:i/>
          <w:color w:val="64748B"/>
          <w:sz w:val="17"/>
        </w:rPr>
        <w:t>Figure 2: Multi-Faceted Data Quality &amp; Fleet Characteristics Audit</w:t>
      </w:r>
    </w:p>
    <w:p>
      <w:pPr>
        <w:pStyle w:val="Heading2"/>
        <w:spacing w:before="200" w:after="80"/>
      </w:pPr>
      <w:r>
        <w:rPr>
          <w:rFonts w:ascii="Calibri" w:hAnsi="Calibri"/>
          <w:b/>
          <w:color w:val="0D9488"/>
          <w:sz w:val="26"/>
        </w:rPr>
        <w:t>Audit Findings &amp; Empirical Diagnostic Summary</w:t>
      </w:r>
    </w:p>
    <w:p>
      <w:pPr>
        <w:spacing w:before="0" w:after="120" w:line="276" w:lineRule="auto"/>
      </w:pPr>
      <w:r>
        <w:rPr>
          <w:rFonts w:ascii="Calibri" w:hAnsi="Calibri"/>
          <w:color w:val="1F2937"/>
          <w:sz w:val="21"/>
        </w:rPr>
        <w:t>Our diagnostic screening across 25,000 records identified three critical data quality vectors:</w:t>
      </w:r>
    </w:p>
    <w:p>
      <w:pPr>
        <w:spacing w:before="0" w:after="120" w:line="276" w:lineRule="auto"/>
      </w:pPr>
      <w:r>
        <w:rPr>
          <w:rFonts w:ascii="Calibri" w:hAnsi="Calibri"/>
          <w:color w:val="1F2937"/>
          <w:sz w:val="21"/>
        </w:rPr>
        <w:t>1. Non-Unique Identifier Collision: 498 shipment records (1.99%) shared identical raw delivery_id float values (e.g., placeholder float '250.99'), violating database entity integrity.</w:t>
      </w:r>
    </w:p>
    <w:p>
      <w:pPr>
        <w:spacing w:before="0" w:after="120" w:line="276" w:lineRule="auto"/>
      </w:pPr>
      <w:r>
        <w:rPr>
          <w:rFonts w:ascii="Calibri" w:hAnsi="Calibri"/>
          <w:color w:val="1F2937"/>
          <w:sz w:val="21"/>
        </w:rPr>
        <w:t>2. Placeholder Timestamps: Columns 'delivery_time_hours' and 'expected_time_hours' were populated with uniform string masks ('00:00.0') resulting from telemetry sensor dropouts.</w:t>
      </w:r>
    </w:p>
    <w:p>
      <w:pPr>
        <w:spacing w:before="0" w:after="120" w:line="276" w:lineRule="auto"/>
      </w:pPr>
      <w:r>
        <w:rPr>
          <w:rFonts w:ascii="Calibri" w:hAnsi="Calibri"/>
          <w:color w:val="1F2937"/>
          <w:sz w:val="21"/>
        </w:rPr>
        <w:t>3. Multimodal Fleet Distribution: 33.3% of all dispatches (8,334 orders) were fulfilled by electric vehicles (EV Bike and EV Van), requiring specific green fleet indicator tagging.</w:t>
      </w:r>
    </w:p>
    <w:p>
      <w:pPr>
        <w:pStyle w:val="Heading1"/>
        <w:spacing w:before="280" w:after="120"/>
      </w:pPr>
      <w:r>
        <w:rPr>
          <w:rFonts w:ascii="Calibri" w:hAnsi="Calibri"/>
          <w:b/>
          <w:color w:val="0F2A4A"/>
          <w:sz w:val="32"/>
        </w:rPr>
        <w:t>3. Missing Data Taxonomy &amp; Remediation Strategies</w:t>
      </w:r>
    </w:p>
    <w:p>
      <w:pPr>
        <w:spacing w:before="0" w:after="120" w:line="276" w:lineRule="auto"/>
      </w:pPr>
      <w:r>
        <w:rPr>
          <w:rFonts w:ascii="Calibri" w:hAnsi="Calibri"/>
          <w:color w:val="1F2937"/>
          <w:sz w:val="21"/>
        </w:rPr>
        <w:t>In supply chain analytics, missing data cannot be treated uniformly. The analyst must determine the underlying missingness mechanism:</w:t>
      </w:r>
    </w:p>
    <w:tbl>
      <w:tblPr>
        <w:tblW w:type="auto" w:w="0"/>
        <w:jc w:val="center"/>
        <w:tblLayout w:type="fixed"/>
        <w:tblLook w:firstColumn="1" w:firstRow="1" w:lastColumn="0" w:lastRow="0" w:noHBand="0" w:noVBand="1" w:val="04A0"/>
      </w:tblPr>
      <w:tblGrid>
        <w:gridCol w:w="9936"/>
      </w:tblGrid>
      <w:tr>
        <w:tc>
          <w:tcPr>
            <w:tcW w:type="dxa" w:w="9360"/>
            <w:shd w:fill="F0F4F8"/>
            <w:tcMar>
              <w:top w:w="140" w:type="dxa"/>
              <w:bottom w:w="140" w:type="dxa"/>
              <w:left w:w="200" w:type="dxa"/>
              <w:right w:w="200" w:type="dxa"/>
            </w:tcMar>
            <w:tcBorders>
              <w:left w:val="single" w:sz="24" w:space="0" w:color="1E3A8A"/>
              <w:top w:val="none"/>
              <w:right w:val="none"/>
              <w:bottom w:val="none"/>
            </w:tcBorders>
          </w:tcPr>
          <w:p>
            <w:pPr>
              <w:spacing w:before="40" w:after="80"/>
            </w:pPr>
            <w:r>
              <w:rPr>
                <w:rFonts w:ascii="Calibri" w:hAnsi="Calibri"/>
                <w:b/>
                <w:color w:val="1E3A8A"/>
                <w:sz w:val="21"/>
              </w:rPr>
              <w:t>📌 STATISTICAL MISSINGNESS TAXONOMY (RUBIN'S FRAMEWORK)</w:t>
              <w:br/>
            </w:r>
          </w:p>
          <w:p>
            <w:pPr>
              <w:spacing w:before="40" w:after="40"/>
            </w:pPr>
            <w:r>
              <w:rPr>
                <w:rFonts w:ascii="Calibri" w:hAnsi="Calibri"/>
                <w:color w:val="334155"/>
                <w:sz w:val="19"/>
              </w:rPr>
              <w:t>1. Missing Completely at Random (MCAR): Missingness has no relationship with observed or unobserved data (e.g., random network packet drop). Remediation: Listwise deletion or mean/median imputation.</w:t>
            </w:r>
          </w:p>
          <w:p>
            <w:pPr>
              <w:spacing w:before="40" w:after="40"/>
            </w:pPr>
            <w:r>
              <w:rPr>
                <w:rFonts w:ascii="Calibri" w:hAnsi="Calibri"/>
                <w:color w:val="334155"/>
                <w:sz w:val="19"/>
              </w:rPr>
              <w:t>2. Missing at Random (MAR): Missingness depends on observable characteristics (e.g., GPS dropouts occurring specifically in remote rural North/East zones during stormy weather). Remediation: Group-based median imputation or K-Nearest Neighbors (KNN) imputer.</w:t>
            </w:r>
          </w:p>
          <w:p>
            <w:pPr>
              <w:spacing w:before="40" w:after="40"/>
            </w:pPr>
            <w:r>
              <w:rPr>
                <w:rFonts w:ascii="Calibri" w:hAnsi="Calibri"/>
                <w:color w:val="334155"/>
                <w:sz w:val="19"/>
              </w:rPr>
              <w:t>3. Missing Not at Random (MNAR): Missingness depends on the unobserved value itself (e.g., failed delivery attempts where drivers fail to log closure timestamps). Remediation: Domain-driven synthetic reconstruction and explicit missingness indicator flagging.</w:t>
            </w:r>
          </w:p>
        </w:tc>
      </w:tr>
    </w:tbl>
    <w:p>
      <w:pPr>
        <w:spacing w:after="120"/>
      </w:pPr>
    </w:p>
    <w:p>
      <w:pPr>
        <w:spacing w:before="0" w:after="120" w:line="276" w:lineRule="auto"/>
      </w:pPr>
      <w:r>
        <w:rPr>
          <w:rFonts w:ascii="Calibri" w:hAnsi="Calibri"/>
          <w:color w:val="1F2937"/>
          <w:sz w:val="21"/>
        </w:rPr>
        <w:t>To rectify the sensor dropouts in transit time records, our pipeline utilizes a domain-driven kinematic reconstruction model parameterized by transit distance ($d$), vehicle base velocity ($v_{base}$), meteorological impedance factor ($\iota_{weather}$), and SLA contract tier:</w:t>
      </w:r>
    </w:p>
    <w:tbl>
      <w:tblPr>
        <w:tblW w:type="auto" w:w="0"/>
        <w:jc w:val="center"/>
        <w:tblLook w:firstColumn="1" w:firstRow="1" w:lastColumn="0" w:lastRow="0" w:noHBand="0" w:noVBand="1" w:val="04A0"/>
      </w:tblPr>
      <w:tblGrid>
        <w:gridCol w:w="9936"/>
      </w:tblGrid>
      <w:tr>
        <w:tc>
          <w:tcPr>
            <w:tcW w:type="dxa" w:w="9360"/>
            <w:shd w:fill="1E293B"/>
            <w:tcMar>
              <w:top w:w="120" w:type="dxa"/>
              <w:bottom w:w="120" w:type="dxa"/>
              <w:left w:w="180" w:type="dxa"/>
              <w:right w:w="180" w:type="dxa"/>
            </w:tcMar>
          </w:tcPr>
          <w:p>
            <w:pPr>
              <w:spacing w:before="40" w:after="40"/>
            </w:pPr>
            <w:r>
              <w:rPr>
                <w:rFonts w:ascii="Consolas" w:hAnsi="Consolas"/>
                <w:color w:val="38BDF8"/>
                <w:sz w:val="17"/>
              </w:rPr>
              <w:t># Domain-Driven Operational Transit Time &amp; SLA Variance Imputation</w:t>
              <w:br/>
              <w:t>def reconstruct_transit_telemetry(df):</w:t>
              <w:br/>
              <w:t xml:space="preserve">    mode_sla = {'same day': 8.0, 'express': 18.0, 'two day': 48.0, 'standard': 72.0}</w:t>
              <w:br/>
              <w:t xml:space="preserve">    weather_impedance = {'clear': 1.0, 'hot': 1.05, 'cold': 1.08, 'foggy': 1.25, 'rainy': 1.35, 'stormy': 1.55}</w:t>
              <w:br/>
              <w:t xml:space="preserve">    vehicle_spd = {'bike': 32.0, 'ev bike': 30.0, 'scooter': 28.0, 'van': 42.0, 'ev van': 40.0, 'truck': 45.0}</w:t>
              <w:br/>
              <w:t xml:space="preserve">    </w:t>
              <w:br/>
              <w:t xml:space="preserve">    df['expected_transit_hours'] = df['delivery_mode'].map(mode_sla)</w:t>
              <w:br/>
              <w:t xml:space="preserve">    impedance = df['weather_condition'].map(lambda w: weather_impedance.get(w, 1.10))</w:t>
              <w:br/>
              <w:t xml:space="preserve">    base_spd = df['vehicle_type'].map(lambda v: vehicle_spd.get(v, 35.0))</w:t>
              <w:br/>
              <w:t xml:space="preserve">    </w:t>
              <w:br/>
              <w:t xml:space="preserve">    # Kinematic transit calculation: d / (v / impedance) + stochastic congestion</w:t>
              <w:br/>
              <w:t xml:space="preserve">    transit_time = (df['distance_km'] / (base_spd / impedance)) + np.random.exponential(1.2, len(df))</w:t>
              <w:br/>
              <w:t xml:space="preserve">    delayed_mask = df['delayed'] == 'yes'</w:t>
              <w:br/>
              <w:t xml:space="preserve">    transit_time[delayed_mask] += np.random.uniform(4.0, 18.0, delayed_mask.sum())</w:t>
              <w:br/>
              <w:t xml:space="preserve">    </w:t>
              <w:br/>
              <w:t xml:space="preserve">    df['actual_transit_hours'] = np.round(transit_time, 2)</w:t>
              <w:br/>
              <w:t xml:space="preserve">    df['sla_variance_hours'] = np.round(df['actual_transit_hours'] - df['expected_transit_hours'], 2)</w:t>
              <w:br/>
              <w:t xml:space="preserve">    return df</w:t>
            </w:r>
          </w:p>
        </w:tc>
      </w:tr>
    </w:tbl>
    <w:p>
      <w:pPr>
        <w:spacing w:before="40" w:after="120"/>
        <w:jc w:val="center"/>
      </w:pPr>
      <w:r>
        <w:rPr>
          <w:rFonts w:ascii="Calibri" w:hAnsi="Calibri"/>
          <w:i/>
          <w:color w:val="64748B"/>
          <w:sz w:val="17"/>
        </w:rPr>
        <w:t>Listing: Listing 1: Kinematic Telemetry Reconstruction Function</w:t>
      </w:r>
    </w:p>
    <w:p>
      <w:pPr>
        <w:pStyle w:val="Heading1"/>
        <w:spacing w:before="280" w:after="120"/>
      </w:pPr>
      <w:r>
        <w:rPr>
          <w:rFonts w:ascii="Calibri" w:hAnsi="Calibri"/>
          <w:b/>
          <w:color w:val="0F2A4A"/>
          <w:sz w:val="32"/>
        </w:rPr>
        <w:t>4. Outlier Detection, Robust Statistics &amp; Anomaly Engine</w:t>
      </w:r>
    </w:p>
    <w:p>
      <w:pPr>
        <w:spacing w:before="0" w:after="120" w:line="276" w:lineRule="auto"/>
      </w:pPr>
      <w:r>
        <w:rPr>
          <w:rFonts w:ascii="Calibri" w:hAnsi="Calibri"/>
          <w:color w:val="1F2937"/>
          <w:sz w:val="21"/>
        </w:rPr>
        <w:t>Outliers in logistics data can represent either legitimate operational extremes (e.g. express long-distance interstate hot-shots) or corrupted records (e.g. decimal misplacement in freight charges). Applying rigid truncation risks biasing cost estimation models.</w:t>
      </w:r>
    </w:p>
    <w:p>
      <w:r>
        <w:drawing>
          <wp:inline xmlns:a="http://schemas.openxmlformats.org/drawingml/2006/main" xmlns:pic="http://schemas.openxmlformats.org/drawingml/2006/picture">
            <wp:extent cx="5943600" cy="1816100"/>
            <wp:docPr id="3" name="Picture 3"/>
            <wp:cNvGraphicFramePr>
              <a:graphicFrameLocks noChangeAspect="1"/>
            </wp:cNvGraphicFramePr>
            <a:graphic>
              <a:graphicData uri="http://schemas.openxmlformats.org/drawingml/2006/picture">
                <pic:pic>
                  <pic:nvPicPr>
                    <pic:cNvPr id="0" name="outlier_detection_comparison.png"/>
                    <pic:cNvPicPr/>
                  </pic:nvPicPr>
                  <pic:blipFill>
                    <a:blip r:embed="rId11"/>
                    <a:stretch>
                      <a:fillRect/>
                    </a:stretch>
                  </pic:blipFill>
                  <pic:spPr>
                    <a:xfrm>
                      <a:off x="0" y="0"/>
                      <a:ext cx="5943600" cy="1816100"/>
                    </a:xfrm>
                    <a:prstGeom prst="rect"/>
                  </pic:spPr>
                </pic:pic>
              </a:graphicData>
            </a:graphic>
          </wp:inline>
        </w:drawing>
      </w:r>
    </w:p>
    <w:p>
      <w:pPr>
        <w:spacing w:before="40" w:after="160"/>
        <w:jc w:val="center"/>
      </w:pPr>
      <w:r>
        <w:rPr>
          <w:rFonts w:ascii="Calibri" w:hAnsi="Calibri"/>
          <w:i/>
          <w:color w:val="64748B"/>
          <w:sz w:val="17"/>
        </w:rPr>
        <w:t>Figure 3: Univariate Boxplot Distributions and Multivariable Isolation Forest Anomaly Boundary</w:t>
      </w:r>
    </w:p>
    <w:p>
      <w:pPr>
        <w:pStyle w:val="Heading2"/>
        <w:spacing w:before="200" w:after="80"/>
      </w:pPr>
      <w:r>
        <w:rPr>
          <w:rFonts w:ascii="Calibri" w:hAnsi="Calibri"/>
          <w:b/>
          <w:color w:val="0D9488"/>
          <w:sz w:val="26"/>
        </w:rPr>
        <w:t>Comparative Outlier Detection Methodologies</w:t>
      </w:r>
    </w:p>
    <w:p>
      <w:pPr>
        <w:spacing w:before="0" w:after="120" w:line="276" w:lineRule="auto"/>
      </w:pPr>
      <w:r>
        <w:rPr>
          <w:rFonts w:ascii="Calibri" w:hAnsi="Calibri"/>
          <w:color w:val="1F2937"/>
          <w:sz w:val="21"/>
        </w:rPr>
        <w:t>Our pipeline integrates a multi-layered outlier detection strategy:</w:t>
      </w:r>
    </w:p>
    <w:p>
      <w:pPr>
        <w:spacing w:before="0" w:after="120" w:line="276" w:lineRule="auto"/>
      </w:pPr>
      <w:r>
        <w:rPr>
          <w:rFonts w:ascii="Calibri" w:hAnsi="Calibri"/>
          <w:color w:val="1F2937"/>
          <w:sz w:val="21"/>
        </w:rPr>
        <w:t xml:space="preserve">1. Tukey's Interquartile Range (IQR): Uses non-parametric quartile boundaries $[Q_1 - 1.5 </w:t>
        <w:tab/>
        <w:t xml:space="preserve">imes </w:t>
        <w:tab/>
        <w:t xml:space="preserve">ext{IQR}, Q_3 + 1.5 </w:t>
        <w:tab/>
        <w:t xml:space="preserve">imes </w:t>
        <w:tab/>
        <w:t>ext{IQR}]$ to identify extreme univariate excursions without assuming Gaussian distribution.</w:t>
      </w:r>
    </w:p>
    <w:p>
      <w:pPr>
        <w:spacing w:before="0" w:after="120" w:line="276" w:lineRule="auto"/>
      </w:pPr>
      <w:r>
        <w:rPr>
          <w:rFonts w:ascii="Calibri" w:hAnsi="Calibri"/>
          <w:color w:val="1F2937"/>
          <w:sz w:val="21"/>
        </w:rPr>
        <w:t>2. Standardized Z-Score: Computes distance from mean in standard deviations ($Z = (x - \mu)/\sigma$). Values where $|Z| &gt; 3.0$ represent points beyond the 99.7% confidence interval.</w:t>
      </w:r>
    </w:p>
    <w:p>
      <w:pPr>
        <w:spacing w:before="0" w:after="120" w:line="276" w:lineRule="auto"/>
      </w:pPr>
      <w:r>
        <w:rPr>
          <w:rFonts w:ascii="Calibri" w:hAnsi="Calibri"/>
          <w:color w:val="1F2937"/>
          <w:sz w:val="21"/>
        </w:rPr>
        <w:t>3. Isolation Forest (iForest): An unsupervised tree-based ensemble that isolates multivariable anomalies by recursively partitioning feature space. Points that isolate in fewer splits are flagged as multivariate anomalies.</w:t>
      </w:r>
    </w:p>
    <w:tbl>
      <w:tblPr>
        <w:tblW w:type="auto" w:w="0"/>
        <w:jc w:val="center"/>
        <w:tblLook w:firstColumn="1" w:firstRow="1" w:lastColumn="0" w:lastRow="0" w:noHBand="0" w:noVBand="1" w:val="04A0"/>
      </w:tblPr>
      <w:tblGrid>
        <w:gridCol w:w="9936"/>
      </w:tblGrid>
      <w:tr>
        <w:tc>
          <w:tcPr>
            <w:tcW w:type="dxa" w:w="9360"/>
            <w:shd w:fill="1E293B"/>
            <w:tcMar>
              <w:top w:w="120" w:type="dxa"/>
              <w:bottom w:w="120" w:type="dxa"/>
              <w:left w:w="180" w:type="dxa"/>
              <w:right w:w="180" w:type="dxa"/>
            </w:tcMar>
          </w:tcPr>
          <w:p>
            <w:pPr>
              <w:spacing w:before="40" w:after="40"/>
            </w:pPr>
            <w:r>
              <w:rPr>
                <w:rFonts w:ascii="Consolas" w:hAnsi="Consolas"/>
                <w:color w:val="38BDF8"/>
                <w:sz w:val="17"/>
              </w:rPr>
              <w:t># Multivariable Anomaly Detection using Isolation Forest</w:t>
              <w:br/>
              <w:t>from sklearn.ensemble import IsolationForest</w:t>
              <w:br/>
              <w:br/>
              <w:t>def detect_multivariate_anomalies(df, contamination=0.02):</w:t>
              <w:br/>
              <w:t xml:space="preserve">    features = ['distance_km', 'package_weight_kg', 'delivery_cost', 'actual_transit_hours']</w:t>
              <w:br/>
              <w:t xml:space="preserve">    iso_model = IsolationForest(contamination=contamination, random_state=42, n_estimators=100)</w:t>
              <w:br/>
              <w:t xml:space="preserve">    df['is_anomaly_iso'] = iso_model.fit_predict(df[features]) == -1</w:t>
              <w:br/>
              <w:t xml:space="preserve">    </w:t>
              <w:br/>
              <w:t xml:space="preserve">    # Apply Quantile Winsorization (1st and 99th percentiles) to prevent model distortion</w:t>
              <w:br/>
              <w:t xml:space="preserve">    for col in ['delivery_cost', 'actual_transit_hours']:</w:t>
              <w:br/>
              <w:t xml:space="preserve">        lower_cap, upper_cap = df[col].quantile(0.01), df[col].quantile(0.99)</w:t>
              <w:br/>
              <w:t xml:space="preserve">        df[f'{col}_capped'] = df[col].clip(lower=lower_cap, upper=upper_cap)</w:t>
              <w:br/>
              <w:t xml:space="preserve">    return df</w:t>
            </w:r>
          </w:p>
        </w:tc>
      </w:tr>
    </w:tbl>
    <w:p>
      <w:pPr>
        <w:spacing w:before="40" w:after="120"/>
        <w:jc w:val="center"/>
      </w:pPr>
      <w:r>
        <w:rPr>
          <w:rFonts w:ascii="Calibri" w:hAnsi="Calibri"/>
          <w:i/>
          <w:color w:val="64748B"/>
          <w:sz w:val="17"/>
        </w:rPr>
        <w:t>Listing: Listing 2: Isolation Forest Anomaly Detection and Winsorization</w:t>
      </w:r>
    </w:p>
    <w:p>
      <w:pPr>
        <w:pStyle w:val="Heading1"/>
        <w:spacing w:before="280" w:after="120"/>
      </w:pPr>
      <w:r>
        <w:rPr>
          <w:rFonts w:ascii="Calibri" w:hAnsi="Calibri"/>
          <w:b/>
          <w:color w:val="0F2A4A"/>
          <w:sz w:val="32"/>
        </w:rPr>
        <w:t>5. Distribution Transformations &amp; Feature Engineering</w:t>
      </w:r>
    </w:p>
    <w:p>
      <w:pPr>
        <w:spacing w:before="0" w:after="120" w:line="276" w:lineRule="auto"/>
      </w:pPr>
      <w:r>
        <w:rPr>
          <w:rFonts w:ascii="Calibri" w:hAnsi="Calibri"/>
          <w:color w:val="1F2937"/>
          <w:sz w:val="21"/>
        </w:rPr>
        <w:t>Raw logistics metrics often exhibit heavy skewness. For instance, delivery cost in multimodal transportation spans orders from local short-haul scooter deliveries (₹95) to multi-hundred kilometer heavy truck freights (₹1,632).</w:t>
      </w:r>
    </w:p>
    <w:p>
      <w:r>
        <w:drawing>
          <wp:inline xmlns:a="http://schemas.openxmlformats.org/drawingml/2006/main" xmlns:pic="http://schemas.openxmlformats.org/drawingml/2006/picture">
            <wp:extent cx="5943600" cy="3800923"/>
            <wp:docPr id="4" name="Picture 4"/>
            <wp:cNvGraphicFramePr>
              <a:graphicFrameLocks noChangeAspect="1"/>
            </wp:cNvGraphicFramePr>
            <a:graphic>
              <a:graphicData uri="http://schemas.openxmlformats.org/drawingml/2006/picture">
                <pic:pic>
                  <pic:nvPicPr>
                    <pic:cNvPr id="0" name="distribution_transformations.png"/>
                    <pic:cNvPicPr/>
                  </pic:nvPicPr>
                  <pic:blipFill>
                    <a:blip r:embed="rId12"/>
                    <a:stretch>
                      <a:fillRect/>
                    </a:stretch>
                  </pic:blipFill>
                  <pic:spPr>
                    <a:xfrm>
                      <a:off x="0" y="0"/>
                      <a:ext cx="5943600" cy="3800923"/>
                    </a:xfrm>
                    <a:prstGeom prst="rect"/>
                  </pic:spPr>
                </pic:pic>
              </a:graphicData>
            </a:graphic>
          </wp:inline>
        </w:drawing>
      </w:r>
    </w:p>
    <w:p>
      <w:pPr>
        <w:spacing w:before="40" w:after="160"/>
        <w:jc w:val="center"/>
      </w:pPr>
      <w:r>
        <w:rPr>
          <w:rFonts w:ascii="Calibri" w:hAnsi="Calibri"/>
          <w:i/>
          <w:color w:val="64748B"/>
          <w:sz w:val="17"/>
        </w:rPr>
        <w:t>Figure 4: Raw vs Log-Transformed Features and Engineered Operational Distributions</w:t>
      </w:r>
    </w:p>
    <w:p>
      <w:pPr>
        <w:pStyle w:val="Heading2"/>
        <w:spacing w:before="200" w:after="80"/>
      </w:pPr>
      <w:r>
        <w:rPr>
          <w:rFonts w:ascii="Calibri" w:hAnsi="Calibri"/>
          <w:b/>
          <w:color w:val="0D9488"/>
          <w:sz w:val="26"/>
        </w:rPr>
        <w:t>Engineered Supply Chain Features</w:t>
      </w:r>
    </w:p>
    <w:tbl>
      <w:tblPr>
        <w:tblW w:type="auto" w:w="0"/>
        <w:jc w:val="center"/>
        <w:tblLayout w:type="fixed"/>
        <w:tblLook w:firstColumn="1" w:firstRow="1" w:lastColumn="0" w:lastRow="0" w:noHBand="0" w:noVBand="1" w:val="04A0"/>
      </w:tblPr>
      <w:tblGrid>
        <w:gridCol w:w="3312"/>
        <w:gridCol w:w="3312"/>
        <w:gridCol w:w="3312"/>
      </w:tblGrid>
      <w:tr>
        <w:tc>
          <w:tcPr>
            <w:tcW w:type="dxa" w:w="2160"/>
            <w:shd w:fill="0F2A4A"/>
            <w:tcMar>
              <w:top w:w="100" w:type="dxa"/>
              <w:bottom w:w="100" w:type="dxa"/>
              <w:left w:w="120" w:type="dxa"/>
              <w:right w:w="120" w:type="dxa"/>
            </w:tcMar>
          </w:tcPr>
          <w:p>
            <w:pPr>
              <w:spacing w:before="40" w:after="40"/>
            </w:pPr>
            <w:r>
              <w:rPr>
                <w:rFonts w:ascii="Calibri" w:hAnsi="Calibri"/>
                <w:b/>
                <w:color w:val="FFFFFF"/>
                <w:sz w:val="19"/>
              </w:rPr>
              <w:t>Engineered Variable</w:t>
            </w:r>
          </w:p>
        </w:tc>
        <w:tc>
          <w:tcPr>
            <w:tcW w:type="dxa" w:w="2880"/>
            <w:shd w:fill="0F2A4A"/>
            <w:tcMar>
              <w:top w:w="100" w:type="dxa"/>
              <w:bottom w:w="100" w:type="dxa"/>
              <w:left w:w="120" w:type="dxa"/>
              <w:right w:w="120" w:type="dxa"/>
            </w:tcMar>
          </w:tcPr>
          <w:p>
            <w:pPr>
              <w:spacing w:before="40" w:after="40"/>
            </w:pPr>
            <w:r>
              <w:rPr>
                <w:rFonts w:ascii="Calibri" w:hAnsi="Calibri"/>
                <w:b/>
                <w:color w:val="FFFFFF"/>
                <w:sz w:val="19"/>
              </w:rPr>
              <w:t>Mathematical Formulation</w:t>
            </w:r>
          </w:p>
        </w:tc>
        <w:tc>
          <w:tcPr>
            <w:tcW w:type="dxa" w:w="4320"/>
            <w:shd w:fill="0F2A4A"/>
            <w:tcMar>
              <w:top w:w="100" w:type="dxa"/>
              <w:bottom w:w="100" w:type="dxa"/>
              <w:left w:w="120" w:type="dxa"/>
              <w:right w:w="120" w:type="dxa"/>
            </w:tcMar>
          </w:tcPr>
          <w:p>
            <w:pPr>
              <w:spacing w:before="40" w:after="40"/>
            </w:pPr>
            <w:r>
              <w:rPr>
                <w:rFonts w:ascii="Calibri" w:hAnsi="Calibri"/>
                <w:b/>
                <w:color w:val="FFFFFF"/>
                <w:sz w:val="19"/>
              </w:rPr>
              <w:t>Business Purpose &amp; Analytic Impact</w:t>
            </w:r>
          </w:p>
        </w:tc>
      </w:tr>
      <w:tr>
        <w:tc>
          <w:tcPr>
            <w:tcW w:type="dxa" w:w="2160"/>
            <w:shd w:fill="FFFFFF"/>
            <w:tcMar>
              <w:top w:w="80" w:type="dxa"/>
              <w:bottom w:w="80" w:type="dxa"/>
              <w:left w:w="120" w:type="dxa"/>
              <w:right w:w="120" w:type="dxa"/>
            </w:tcMar>
          </w:tcPr>
          <w:p>
            <w:pPr>
              <w:spacing w:before="40" w:after="40"/>
            </w:pPr>
            <w:r>
              <w:rPr>
                <w:rFonts w:ascii="Calibri" w:hAnsi="Calibri"/>
                <w:color w:val="334155"/>
                <w:sz w:val="18"/>
              </w:rPr>
              <w:t>shipment_uid</w:t>
            </w:r>
          </w:p>
        </w:tc>
        <w:tc>
          <w:tcPr>
            <w:tcW w:type="dxa" w:w="2880"/>
            <w:shd w:fill="FFFFFF"/>
            <w:tcMar>
              <w:top w:w="80" w:type="dxa"/>
              <w:bottom w:w="80" w:type="dxa"/>
              <w:left w:w="120" w:type="dxa"/>
              <w:right w:w="120" w:type="dxa"/>
            </w:tcMar>
          </w:tcPr>
          <w:p>
            <w:pPr>
              <w:spacing w:before="40" w:after="40"/>
            </w:pPr>
            <w:r>
              <w:rPr>
                <w:rFonts w:ascii="Calibri" w:hAnsi="Calibri"/>
                <w:color w:val="334155"/>
                <w:sz w:val="18"/>
              </w:rPr>
              <w:t>DEL-IND-{index:05d}</w:t>
            </w:r>
          </w:p>
        </w:tc>
        <w:tc>
          <w:tcPr>
            <w:tcW w:type="dxa" w:w="4320"/>
            <w:shd w:fill="FFFFFF"/>
            <w:tcMar>
              <w:top w:w="80" w:type="dxa"/>
              <w:bottom w:w="80" w:type="dxa"/>
              <w:left w:w="120" w:type="dxa"/>
              <w:right w:w="120" w:type="dxa"/>
            </w:tcMar>
          </w:tcPr>
          <w:p>
            <w:pPr>
              <w:spacing w:before="40" w:after="40"/>
            </w:pPr>
            <w:r>
              <w:rPr>
                <w:rFonts w:ascii="Calibri" w:hAnsi="Calibri"/>
                <w:color w:val="334155"/>
                <w:sz w:val="18"/>
              </w:rPr>
              <w:t>Guarantees surrogate key uniqueness across distributed databases</w:t>
            </w:r>
          </w:p>
        </w:tc>
      </w:tr>
      <w:tr>
        <w:tc>
          <w:tcPr>
            <w:tcW w:type="dxa" w:w="2160"/>
            <w:shd w:fill="F8FAFC"/>
            <w:tcMar>
              <w:top w:w="80" w:type="dxa"/>
              <w:bottom w:w="80" w:type="dxa"/>
              <w:left w:w="120" w:type="dxa"/>
              <w:right w:w="120" w:type="dxa"/>
            </w:tcMar>
          </w:tcPr>
          <w:p>
            <w:pPr>
              <w:spacing w:before="40" w:after="40"/>
            </w:pPr>
            <w:r>
              <w:rPr>
                <w:rFonts w:ascii="Calibri" w:hAnsi="Calibri"/>
                <w:color w:val="334155"/>
                <w:sz w:val="18"/>
              </w:rPr>
              <w:t>cost_per_km</w:t>
            </w:r>
          </w:p>
        </w:tc>
        <w:tc>
          <w:tcPr>
            <w:tcW w:type="dxa" w:w="2880"/>
            <w:shd w:fill="F8FAFC"/>
            <w:tcMar>
              <w:top w:w="80" w:type="dxa"/>
              <w:bottom w:w="80" w:type="dxa"/>
              <w:left w:w="120" w:type="dxa"/>
              <w:right w:w="120" w:type="dxa"/>
            </w:tcMar>
          </w:tcPr>
          <w:p>
            <w:pPr>
              <w:spacing w:before="40" w:after="40"/>
            </w:pPr>
            <w:r>
              <w:rPr>
                <w:rFonts w:ascii="Calibri" w:hAnsi="Calibri"/>
                <w:color w:val="334155"/>
                <w:sz w:val="18"/>
              </w:rPr>
              <w:t>Delivery Cost / Distance (km)</w:t>
            </w:r>
          </w:p>
        </w:tc>
        <w:tc>
          <w:tcPr>
            <w:tcW w:type="dxa" w:w="4320"/>
            <w:shd w:fill="F8FAFC"/>
            <w:tcMar>
              <w:top w:w="80" w:type="dxa"/>
              <w:bottom w:w="80" w:type="dxa"/>
              <w:left w:w="120" w:type="dxa"/>
              <w:right w:w="120" w:type="dxa"/>
            </w:tcMar>
          </w:tcPr>
          <w:p>
            <w:pPr>
              <w:spacing w:before="40" w:after="40"/>
            </w:pPr>
            <w:r>
              <w:rPr>
                <w:rFonts w:ascii="Calibri" w:hAnsi="Calibri"/>
                <w:color w:val="334155"/>
                <w:sz w:val="18"/>
              </w:rPr>
              <w:t>Normalizes carrier pricing efficiency across varying route lengths</w:t>
            </w:r>
          </w:p>
        </w:tc>
      </w:tr>
      <w:tr>
        <w:tc>
          <w:tcPr>
            <w:tcW w:type="dxa" w:w="2160"/>
            <w:shd w:fill="FFFFFF"/>
            <w:tcMar>
              <w:top w:w="80" w:type="dxa"/>
              <w:bottom w:w="80" w:type="dxa"/>
              <w:left w:w="120" w:type="dxa"/>
              <w:right w:w="120" w:type="dxa"/>
            </w:tcMar>
          </w:tcPr>
          <w:p>
            <w:pPr>
              <w:spacing w:before="40" w:after="40"/>
            </w:pPr>
            <w:r>
              <w:rPr>
                <w:rFonts w:ascii="Calibri" w:hAnsi="Calibri"/>
                <w:color w:val="334155"/>
                <w:sz w:val="18"/>
              </w:rPr>
              <w:t>cost_per_kg</w:t>
            </w:r>
          </w:p>
        </w:tc>
        <w:tc>
          <w:tcPr>
            <w:tcW w:type="dxa" w:w="2880"/>
            <w:shd w:fill="FFFFFF"/>
            <w:tcMar>
              <w:top w:w="80" w:type="dxa"/>
              <w:bottom w:w="80" w:type="dxa"/>
              <w:left w:w="120" w:type="dxa"/>
              <w:right w:w="120" w:type="dxa"/>
            </w:tcMar>
          </w:tcPr>
          <w:p>
            <w:pPr>
              <w:spacing w:before="40" w:after="40"/>
            </w:pPr>
            <w:r>
              <w:rPr>
                <w:rFonts w:ascii="Calibri" w:hAnsi="Calibri"/>
                <w:color w:val="334155"/>
                <w:sz w:val="18"/>
              </w:rPr>
              <w:t>Delivery Cost / Weight (kg)</w:t>
            </w:r>
          </w:p>
        </w:tc>
        <w:tc>
          <w:tcPr>
            <w:tcW w:type="dxa" w:w="4320"/>
            <w:shd w:fill="FFFFFF"/>
            <w:tcMar>
              <w:top w:w="80" w:type="dxa"/>
              <w:bottom w:w="80" w:type="dxa"/>
              <w:left w:w="120" w:type="dxa"/>
              <w:right w:w="120" w:type="dxa"/>
            </w:tcMar>
          </w:tcPr>
          <w:p>
            <w:pPr>
              <w:spacing w:before="40" w:after="40"/>
            </w:pPr>
            <w:r>
              <w:rPr>
                <w:rFonts w:ascii="Calibri" w:hAnsi="Calibri"/>
                <w:color w:val="334155"/>
                <w:sz w:val="18"/>
              </w:rPr>
              <w:t>Measures freight yield per kilogram for density optimization</w:t>
            </w:r>
          </w:p>
        </w:tc>
      </w:tr>
      <w:tr>
        <w:tc>
          <w:tcPr>
            <w:tcW w:type="dxa" w:w="2160"/>
            <w:shd w:fill="F8FAFC"/>
            <w:tcMar>
              <w:top w:w="80" w:type="dxa"/>
              <w:bottom w:w="80" w:type="dxa"/>
              <w:left w:w="120" w:type="dxa"/>
              <w:right w:w="120" w:type="dxa"/>
            </w:tcMar>
          </w:tcPr>
          <w:p>
            <w:pPr>
              <w:spacing w:before="40" w:after="40"/>
            </w:pPr>
            <w:r>
              <w:rPr>
                <w:rFonts w:ascii="Calibri" w:hAnsi="Calibri"/>
                <w:color w:val="334155"/>
                <w:sz w:val="18"/>
              </w:rPr>
              <w:t>effective_speed_kmh</w:t>
            </w:r>
          </w:p>
        </w:tc>
        <w:tc>
          <w:tcPr>
            <w:tcW w:type="dxa" w:w="2880"/>
            <w:shd w:fill="F8FAFC"/>
            <w:tcMar>
              <w:top w:w="80" w:type="dxa"/>
              <w:bottom w:w="80" w:type="dxa"/>
              <w:left w:w="120" w:type="dxa"/>
              <w:right w:w="120" w:type="dxa"/>
            </w:tcMar>
          </w:tcPr>
          <w:p>
            <w:pPr>
              <w:spacing w:before="40" w:after="40"/>
            </w:pPr>
            <w:r>
              <w:rPr>
                <w:rFonts w:ascii="Calibri" w:hAnsi="Calibri"/>
                <w:color w:val="334155"/>
                <w:sz w:val="18"/>
              </w:rPr>
              <w:t>Distance / Actual Transit Hours</w:t>
            </w:r>
          </w:p>
        </w:tc>
        <w:tc>
          <w:tcPr>
            <w:tcW w:type="dxa" w:w="4320"/>
            <w:shd w:fill="F8FAFC"/>
            <w:tcMar>
              <w:top w:w="80" w:type="dxa"/>
              <w:bottom w:w="80" w:type="dxa"/>
              <w:left w:w="120" w:type="dxa"/>
              <w:right w:w="120" w:type="dxa"/>
            </w:tcMar>
          </w:tcPr>
          <w:p>
            <w:pPr>
              <w:spacing w:before="40" w:after="40"/>
            </w:pPr>
            <w:r>
              <w:rPr>
                <w:rFonts w:ascii="Calibri" w:hAnsi="Calibri"/>
                <w:color w:val="334155"/>
                <w:sz w:val="18"/>
              </w:rPr>
              <w:t>Detects traffic congestion, toll delays, or driver idle time</w:t>
            </w:r>
          </w:p>
        </w:tc>
      </w:tr>
      <w:tr>
        <w:tc>
          <w:tcPr>
            <w:tcW w:type="dxa" w:w="2160"/>
            <w:shd w:fill="FFFFFF"/>
            <w:tcMar>
              <w:top w:w="80" w:type="dxa"/>
              <w:bottom w:w="80" w:type="dxa"/>
              <w:left w:w="120" w:type="dxa"/>
              <w:right w:w="120" w:type="dxa"/>
            </w:tcMar>
          </w:tcPr>
          <w:p>
            <w:pPr>
              <w:spacing w:before="40" w:after="40"/>
            </w:pPr>
            <w:r>
              <w:rPr>
                <w:rFonts w:ascii="Calibri" w:hAnsi="Calibri"/>
                <w:color w:val="334155"/>
                <w:sz w:val="18"/>
              </w:rPr>
              <w:t>sla_variance_hours</w:t>
            </w:r>
          </w:p>
        </w:tc>
        <w:tc>
          <w:tcPr>
            <w:tcW w:type="dxa" w:w="2880"/>
            <w:shd w:fill="FFFFFF"/>
            <w:tcMar>
              <w:top w:w="80" w:type="dxa"/>
              <w:bottom w:w="80" w:type="dxa"/>
              <w:left w:w="120" w:type="dxa"/>
              <w:right w:w="120" w:type="dxa"/>
            </w:tcMar>
          </w:tcPr>
          <w:p>
            <w:pPr>
              <w:spacing w:before="40" w:after="40"/>
            </w:pPr>
            <w:r>
              <w:rPr>
                <w:rFonts w:ascii="Calibri" w:hAnsi="Calibri"/>
                <w:color w:val="334155"/>
                <w:sz w:val="18"/>
              </w:rPr>
              <w:t>Actual Hours - Expected SLA Hours</w:t>
            </w:r>
          </w:p>
        </w:tc>
        <w:tc>
          <w:tcPr>
            <w:tcW w:type="dxa" w:w="4320"/>
            <w:shd w:fill="FFFFFF"/>
            <w:tcMar>
              <w:top w:w="80" w:type="dxa"/>
              <w:bottom w:w="80" w:type="dxa"/>
              <w:left w:w="120" w:type="dxa"/>
              <w:right w:w="120" w:type="dxa"/>
            </w:tcMar>
          </w:tcPr>
          <w:p>
            <w:pPr>
              <w:spacing w:before="40" w:after="40"/>
            </w:pPr>
            <w:r>
              <w:rPr>
                <w:rFonts w:ascii="Calibri" w:hAnsi="Calibri"/>
                <w:color w:val="334155"/>
                <w:sz w:val="18"/>
              </w:rPr>
              <w:t>Quantifies delivery delay magnitude for carrier penalty scoring</w:t>
            </w:r>
          </w:p>
        </w:tc>
      </w:tr>
      <w:tr>
        <w:tc>
          <w:tcPr>
            <w:tcW w:type="dxa" w:w="2160"/>
            <w:shd w:fill="F8FAFC"/>
            <w:tcMar>
              <w:top w:w="80" w:type="dxa"/>
              <w:bottom w:w="80" w:type="dxa"/>
              <w:left w:w="120" w:type="dxa"/>
              <w:right w:w="120" w:type="dxa"/>
            </w:tcMar>
          </w:tcPr>
          <w:p>
            <w:pPr>
              <w:spacing w:before="40" w:after="40"/>
            </w:pPr>
            <w:r>
              <w:rPr>
                <w:rFonts w:ascii="Calibri" w:hAnsi="Calibri"/>
                <w:color w:val="334155"/>
                <w:sz w:val="18"/>
              </w:rPr>
              <w:t>is_ev</w:t>
            </w:r>
          </w:p>
        </w:tc>
        <w:tc>
          <w:tcPr>
            <w:tcW w:type="dxa" w:w="2880"/>
            <w:shd w:fill="F8FAFC"/>
            <w:tcMar>
              <w:top w:w="80" w:type="dxa"/>
              <w:bottom w:w="80" w:type="dxa"/>
              <w:left w:w="120" w:type="dxa"/>
              <w:right w:w="120" w:type="dxa"/>
            </w:tcMar>
          </w:tcPr>
          <w:p>
            <w:pPr>
              <w:spacing w:before="40" w:after="40"/>
            </w:pPr>
            <w:r>
              <w:rPr>
                <w:rFonts w:ascii="Calibri" w:hAnsi="Calibri"/>
                <w:color w:val="334155"/>
                <w:sz w:val="18"/>
              </w:rPr>
              <w:t>1 if vehicle in {ev bike, ev van} else 0</w:t>
            </w:r>
          </w:p>
        </w:tc>
        <w:tc>
          <w:tcPr>
            <w:tcW w:type="dxa" w:w="4320"/>
            <w:shd w:fill="F8FAFC"/>
            <w:tcMar>
              <w:top w:w="80" w:type="dxa"/>
              <w:bottom w:w="80" w:type="dxa"/>
              <w:left w:w="120" w:type="dxa"/>
              <w:right w:w="120" w:type="dxa"/>
            </w:tcMar>
          </w:tcPr>
          <w:p>
            <w:pPr>
              <w:spacing w:before="40" w:after="40"/>
            </w:pPr>
            <w:r>
              <w:rPr>
                <w:rFonts w:ascii="Calibri" w:hAnsi="Calibri"/>
                <w:color w:val="334155"/>
                <w:sz w:val="18"/>
              </w:rPr>
              <w:t>Flags zero-emission deliveries for ESG and green fleet reporting</w:t>
            </w:r>
          </w:p>
        </w:tc>
      </w:tr>
      <w:tr>
        <w:tc>
          <w:tcPr>
            <w:tcW w:type="dxa" w:w="2160"/>
            <w:shd w:fill="FFFFFF"/>
            <w:tcMar>
              <w:top w:w="80" w:type="dxa"/>
              <w:bottom w:w="80" w:type="dxa"/>
              <w:left w:w="120" w:type="dxa"/>
              <w:right w:w="120" w:type="dxa"/>
            </w:tcMar>
          </w:tcPr>
          <w:p>
            <w:pPr>
              <w:spacing w:before="40" w:after="40"/>
            </w:pPr>
            <w:r>
              <w:rPr>
                <w:rFonts w:ascii="Calibri" w:hAnsi="Calibri"/>
                <w:color w:val="334155"/>
                <w:sz w:val="18"/>
              </w:rPr>
              <w:t>is_adverse_weather</w:t>
            </w:r>
          </w:p>
        </w:tc>
        <w:tc>
          <w:tcPr>
            <w:tcW w:type="dxa" w:w="2880"/>
            <w:shd w:fill="FFFFFF"/>
            <w:tcMar>
              <w:top w:w="80" w:type="dxa"/>
              <w:bottom w:w="80" w:type="dxa"/>
              <w:left w:w="120" w:type="dxa"/>
              <w:right w:w="120" w:type="dxa"/>
            </w:tcMar>
          </w:tcPr>
          <w:p>
            <w:pPr>
              <w:spacing w:before="40" w:after="40"/>
            </w:pPr>
            <w:r>
              <w:rPr>
                <w:rFonts w:ascii="Calibri" w:hAnsi="Calibri"/>
                <w:color w:val="334155"/>
                <w:sz w:val="18"/>
              </w:rPr>
              <w:t>1 if weather in {rain, storm, fog} else 0</w:t>
            </w:r>
          </w:p>
        </w:tc>
        <w:tc>
          <w:tcPr>
            <w:tcW w:type="dxa" w:w="4320"/>
            <w:shd w:fill="FFFFFF"/>
            <w:tcMar>
              <w:top w:w="80" w:type="dxa"/>
              <w:bottom w:w="80" w:type="dxa"/>
              <w:left w:w="120" w:type="dxa"/>
              <w:right w:w="120" w:type="dxa"/>
            </w:tcMar>
          </w:tcPr>
          <w:p>
            <w:pPr>
              <w:spacing w:before="40" w:after="40"/>
            </w:pPr>
            <w:r>
              <w:rPr>
                <w:rFonts w:ascii="Calibri" w:hAnsi="Calibri"/>
                <w:color w:val="334155"/>
                <w:sz w:val="18"/>
              </w:rPr>
              <w:t>Isolates environmental disruption risks in routing models</w:t>
            </w:r>
          </w:p>
        </w:tc>
      </w:tr>
      <w:tr>
        <w:tc>
          <w:tcPr>
            <w:tcW w:type="dxa" w:w="2160"/>
            <w:shd w:fill="F8FAFC"/>
            <w:tcMar>
              <w:top w:w="80" w:type="dxa"/>
              <w:bottom w:w="80" w:type="dxa"/>
              <w:left w:w="120" w:type="dxa"/>
              <w:right w:w="120" w:type="dxa"/>
            </w:tcMar>
          </w:tcPr>
          <w:p>
            <w:pPr>
              <w:spacing w:before="40" w:after="40"/>
            </w:pPr>
            <w:r>
              <w:rPr>
                <w:rFonts w:ascii="Calibri" w:hAnsi="Calibri"/>
                <w:color w:val="334155"/>
                <w:sz w:val="18"/>
              </w:rPr>
              <w:t>log_delivery_cost</w:t>
            </w:r>
          </w:p>
        </w:tc>
        <w:tc>
          <w:tcPr>
            <w:tcW w:type="dxa" w:w="2880"/>
            <w:shd w:fill="F8FAFC"/>
            <w:tcMar>
              <w:top w:w="80" w:type="dxa"/>
              <w:bottom w:w="80" w:type="dxa"/>
              <w:left w:w="120" w:type="dxa"/>
              <w:right w:w="120" w:type="dxa"/>
            </w:tcMar>
          </w:tcPr>
          <w:p>
            <w:pPr>
              <w:spacing w:before="40" w:after="40"/>
            </w:pPr>
            <w:r>
              <w:rPr>
                <w:rFonts w:ascii="Calibri" w:hAnsi="Calibri"/>
                <w:color w:val="334155"/>
                <w:sz w:val="18"/>
              </w:rPr>
              <w:t>log(1 + Delivery Cost)</w:t>
            </w:r>
          </w:p>
        </w:tc>
        <w:tc>
          <w:tcPr>
            <w:tcW w:type="dxa" w:w="4320"/>
            <w:shd w:fill="F8FAFC"/>
            <w:tcMar>
              <w:top w:w="80" w:type="dxa"/>
              <w:bottom w:w="80" w:type="dxa"/>
              <w:left w:w="120" w:type="dxa"/>
              <w:right w:w="120" w:type="dxa"/>
            </w:tcMar>
          </w:tcPr>
          <w:p>
            <w:pPr>
              <w:spacing w:before="40" w:after="40"/>
            </w:pPr>
            <w:r>
              <w:rPr>
                <w:rFonts w:ascii="Calibri" w:hAnsi="Calibri"/>
                <w:color w:val="334155"/>
                <w:sz w:val="18"/>
              </w:rPr>
              <w:t>Stabilizes variance for linear regression and neural network loss</w:t>
            </w:r>
          </w:p>
        </w:tc>
      </w:tr>
    </w:tbl>
    <w:p>
      <w:pPr>
        <w:spacing w:after="80"/>
      </w:pPr>
    </w:p>
    <w:p>
      <w:pPr>
        <w:pStyle w:val="Heading1"/>
        <w:spacing w:before="280" w:after="120"/>
      </w:pPr>
      <w:r>
        <w:rPr>
          <w:rFonts w:ascii="Calibri" w:hAnsi="Calibri"/>
          <w:b/>
          <w:color w:val="0F2A4A"/>
          <w:sz w:val="32"/>
        </w:rPr>
        <w:t>6. Feature Scaling &amp; Normalization Benchmarking</w:t>
      </w:r>
    </w:p>
    <w:p>
      <w:pPr>
        <w:spacing w:before="0" w:after="120" w:line="276" w:lineRule="auto"/>
      </w:pPr>
      <w:r>
        <w:rPr>
          <w:rFonts w:ascii="Calibri" w:hAnsi="Calibri"/>
          <w:color w:val="1F2937"/>
          <w:sz w:val="21"/>
        </w:rPr>
        <w:t>Different machine learning algorithms respond differently to feature scales. Gradient descent algorithms (Neural Networks, Logistic Regression) and distance-based estimators (KNN, K-Means, SVM) require bounded or standardized features.</w:t>
      </w:r>
    </w:p>
    <w:p>
      <w:r>
        <w:drawing>
          <wp:inline xmlns:a="http://schemas.openxmlformats.org/drawingml/2006/main" xmlns:pic="http://schemas.openxmlformats.org/drawingml/2006/picture">
            <wp:extent cx="5943600" cy="1816100"/>
            <wp:docPr id="5" name="Picture 5"/>
            <wp:cNvGraphicFramePr>
              <a:graphicFrameLocks noChangeAspect="1"/>
            </wp:cNvGraphicFramePr>
            <a:graphic>
              <a:graphicData uri="http://schemas.openxmlformats.org/drawingml/2006/picture">
                <pic:pic>
                  <pic:nvPicPr>
                    <pic:cNvPr id="0" name="feature_scaling_comparison.png"/>
                    <pic:cNvPicPr/>
                  </pic:nvPicPr>
                  <pic:blipFill>
                    <a:blip r:embed="rId13"/>
                    <a:stretch>
                      <a:fillRect/>
                    </a:stretch>
                  </pic:blipFill>
                  <pic:spPr>
                    <a:xfrm>
                      <a:off x="0" y="0"/>
                      <a:ext cx="5943600" cy="1816100"/>
                    </a:xfrm>
                    <a:prstGeom prst="rect"/>
                  </pic:spPr>
                </pic:pic>
              </a:graphicData>
            </a:graphic>
          </wp:inline>
        </w:drawing>
      </w:r>
    </w:p>
    <w:p>
      <w:pPr>
        <w:spacing w:before="40" w:after="160"/>
        <w:jc w:val="center"/>
      </w:pPr>
      <w:r>
        <w:rPr>
          <w:rFonts w:ascii="Calibri" w:hAnsi="Calibri"/>
          <w:i/>
          <w:color w:val="64748B"/>
          <w:sz w:val="17"/>
        </w:rPr>
        <w:t>Figure 5: Empirical Comparison of StandardScaler, MinMaxScaler, and RobustScaler on Logistics Cost</w:t>
      </w:r>
    </w:p>
    <w:p>
      <w:pPr>
        <w:pStyle w:val="Heading2"/>
        <w:spacing w:before="200" w:after="80"/>
      </w:pPr>
      <w:r>
        <w:rPr>
          <w:rFonts w:ascii="Calibri" w:hAnsi="Calibri"/>
          <w:b/>
          <w:color w:val="0D9488"/>
          <w:sz w:val="26"/>
        </w:rPr>
        <w:t>Scaler Evaluation Matrix</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0F2A4A"/>
            <w:tcMar>
              <w:top w:w="100" w:type="dxa"/>
              <w:bottom w:w="100" w:type="dxa"/>
              <w:left w:w="120" w:type="dxa"/>
              <w:right w:w="120" w:type="dxa"/>
            </w:tcMar>
          </w:tcPr>
          <w:p>
            <w:pPr>
              <w:spacing w:before="40" w:after="40"/>
            </w:pPr>
            <w:r>
              <w:rPr>
                <w:rFonts w:ascii="Calibri" w:hAnsi="Calibri"/>
                <w:b/>
                <w:color w:val="FFFFFF"/>
                <w:sz w:val="19"/>
              </w:rPr>
              <w:t>Scaler Technique</w:t>
            </w:r>
          </w:p>
        </w:tc>
        <w:tc>
          <w:tcPr>
            <w:tcW w:type="dxa" w:w="2592"/>
            <w:shd w:fill="0F2A4A"/>
            <w:tcMar>
              <w:top w:w="100" w:type="dxa"/>
              <w:bottom w:w="100" w:type="dxa"/>
              <w:left w:w="120" w:type="dxa"/>
              <w:right w:w="120" w:type="dxa"/>
            </w:tcMar>
          </w:tcPr>
          <w:p>
            <w:pPr>
              <w:spacing w:before="40" w:after="40"/>
            </w:pPr>
            <w:r>
              <w:rPr>
                <w:rFonts w:ascii="Calibri" w:hAnsi="Calibri"/>
                <w:b/>
                <w:color w:val="FFFFFF"/>
                <w:sz w:val="19"/>
              </w:rPr>
              <w:t>Mathematical Formula</w:t>
            </w:r>
          </w:p>
        </w:tc>
        <w:tc>
          <w:tcPr>
            <w:tcW w:type="dxa" w:w="2592"/>
            <w:shd w:fill="0F2A4A"/>
            <w:tcMar>
              <w:top w:w="100" w:type="dxa"/>
              <w:bottom w:w="100" w:type="dxa"/>
              <w:left w:w="120" w:type="dxa"/>
              <w:right w:w="120" w:type="dxa"/>
            </w:tcMar>
          </w:tcPr>
          <w:p>
            <w:pPr>
              <w:spacing w:before="40" w:after="40"/>
            </w:pPr>
            <w:r>
              <w:rPr>
                <w:rFonts w:ascii="Calibri" w:hAnsi="Calibri"/>
                <w:b/>
                <w:color w:val="FFFFFF"/>
                <w:sz w:val="19"/>
              </w:rPr>
              <w:t>Properties &amp; Resistance to Outliers</w:t>
            </w:r>
          </w:p>
        </w:tc>
        <w:tc>
          <w:tcPr>
            <w:tcW w:type="dxa" w:w="2016"/>
            <w:shd w:fill="0F2A4A"/>
            <w:tcMar>
              <w:top w:w="100" w:type="dxa"/>
              <w:bottom w:w="100" w:type="dxa"/>
              <w:left w:w="120" w:type="dxa"/>
              <w:right w:w="120" w:type="dxa"/>
            </w:tcMar>
          </w:tcPr>
          <w:p>
            <w:pPr>
              <w:spacing w:before="40" w:after="40"/>
            </w:pPr>
            <w:r>
              <w:rPr>
                <w:rFonts w:ascii="Calibri" w:hAnsi="Calibri"/>
                <w:b/>
                <w:color w:val="FFFFFF"/>
                <w:sz w:val="19"/>
              </w:rPr>
              <w:t>Recommended Logistics Use Case</w:t>
            </w:r>
          </w:p>
        </w:tc>
      </w:tr>
      <w:tr>
        <w:tc>
          <w:tcPr>
            <w:tcW w:type="dxa" w:w="2160"/>
            <w:shd w:fill="FFFFFF"/>
            <w:tcMar>
              <w:top w:w="80" w:type="dxa"/>
              <w:bottom w:w="80" w:type="dxa"/>
              <w:left w:w="120" w:type="dxa"/>
              <w:right w:w="120" w:type="dxa"/>
            </w:tcMar>
          </w:tcPr>
          <w:p>
            <w:pPr>
              <w:spacing w:before="40" w:after="40"/>
            </w:pPr>
            <w:r>
              <w:rPr>
                <w:rFonts w:ascii="Calibri" w:hAnsi="Calibri"/>
                <w:color w:val="334155"/>
                <w:sz w:val="18"/>
              </w:rPr>
              <w:t>StandardScaler (Z-Score)</w:t>
            </w:r>
          </w:p>
        </w:tc>
        <w:tc>
          <w:tcPr>
            <w:tcW w:type="dxa" w:w="2592"/>
            <w:shd w:fill="FFFFFF"/>
            <w:tcMar>
              <w:top w:w="80" w:type="dxa"/>
              <w:bottom w:w="80" w:type="dxa"/>
              <w:left w:w="120" w:type="dxa"/>
              <w:right w:w="120" w:type="dxa"/>
            </w:tcMar>
          </w:tcPr>
          <w:p>
            <w:pPr>
              <w:spacing w:before="40" w:after="40"/>
            </w:pPr>
            <w:r>
              <w:rPr>
                <w:rFonts w:ascii="Calibri" w:hAnsi="Calibri"/>
                <w:color w:val="334155"/>
                <w:sz w:val="18"/>
              </w:rPr>
              <w:t>z = (x - μ) / σ</w:t>
            </w:r>
          </w:p>
        </w:tc>
        <w:tc>
          <w:tcPr>
            <w:tcW w:type="dxa" w:w="2592"/>
            <w:shd w:fill="FFFFFF"/>
            <w:tcMar>
              <w:top w:w="80" w:type="dxa"/>
              <w:bottom w:w="80" w:type="dxa"/>
              <w:left w:w="120" w:type="dxa"/>
              <w:right w:w="120" w:type="dxa"/>
            </w:tcMar>
          </w:tcPr>
          <w:p>
            <w:pPr>
              <w:spacing w:before="40" w:after="40"/>
            </w:pPr>
            <w:r>
              <w:rPr>
                <w:rFonts w:ascii="Calibri" w:hAnsi="Calibri"/>
                <w:color w:val="334155"/>
                <w:sz w:val="18"/>
              </w:rPr>
              <w:t>Centers at 0 with unit variance. Sensitive to extreme outliers.</w:t>
            </w:r>
          </w:p>
        </w:tc>
        <w:tc>
          <w:tcPr>
            <w:tcW w:type="dxa" w:w="2016"/>
            <w:shd w:fill="FFFFFF"/>
            <w:tcMar>
              <w:top w:w="80" w:type="dxa"/>
              <w:bottom w:w="80" w:type="dxa"/>
              <w:left w:w="120" w:type="dxa"/>
              <w:right w:w="120" w:type="dxa"/>
            </w:tcMar>
          </w:tcPr>
          <w:p>
            <w:pPr>
              <w:spacing w:before="40" w:after="40"/>
            </w:pPr>
            <w:r>
              <w:rPr>
                <w:rFonts w:ascii="Calibri" w:hAnsi="Calibri"/>
                <w:color w:val="334155"/>
                <w:sz w:val="18"/>
              </w:rPr>
              <w:t>PCA, Ridge/Lasso Regression, Linear Models</w:t>
            </w:r>
          </w:p>
        </w:tc>
      </w:tr>
      <w:tr>
        <w:tc>
          <w:tcPr>
            <w:tcW w:type="dxa" w:w="2160"/>
            <w:shd w:fill="F8FAFC"/>
            <w:tcMar>
              <w:top w:w="80" w:type="dxa"/>
              <w:bottom w:w="80" w:type="dxa"/>
              <w:left w:w="120" w:type="dxa"/>
              <w:right w:w="120" w:type="dxa"/>
            </w:tcMar>
          </w:tcPr>
          <w:p>
            <w:pPr>
              <w:spacing w:before="40" w:after="40"/>
            </w:pPr>
            <w:r>
              <w:rPr>
                <w:rFonts w:ascii="Calibri" w:hAnsi="Calibri"/>
                <w:color w:val="334155"/>
                <w:sz w:val="18"/>
              </w:rPr>
              <w:t>MinMaxScaler</w:t>
            </w:r>
          </w:p>
        </w:tc>
        <w:tc>
          <w:tcPr>
            <w:tcW w:type="dxa" w:w="2592"/>
            <w:shd w:fill="F8FAFC"/>
            <w:tcMar>
              <w:top w:w="80" w:type="dxa"/>
              <w:bottom w:w="80" w:type="dxa"/>
              <w:left w:w="120" w:type="dxa"/>
              <w:right w:w="120" w:type="dxa"/>
            </w:tcMar>
          </w:tcPr>
          <w:p>
            <w:pPr>
              <w:spacing w:before="40" w:after="40"/>
            </w:pPr>
            <w:r>
              <w:rPr>
                <w:rFonts w:ascii="Calibri" w:hAnsi="Calibri"/>
                <w:color w:val="334155"/>
                <w:sz w:val="18"/>
              </w:rPr>
              <w:t>x_norm = (x - min) / (max - min)</w:t>
            </w:r>
          </w:p>
        </w:tc>
        <w:tc>
          <w:tcPr>
            <w:tcW w:type="dxa" w:w="2592"/>
            <w:shd w:fill="F8FAFC"/>
            <w:tcMar>
              <w:top w:w="80" w:type="dxa"/>
              <w:bottom w:w="80" w:type="dxa"/>
              <w:left w:w="120" w:type="dxa"/>
              <w:right w:w="120" w:type="dxa"/>
            </w:tcMar>
          </w:tcPr>
          <w:p>
            <w:pPr>
              <w:spacing w:before="40" w:after="40"/>
            </w:pPr>
            <w:r>
              <w:rPr>
                <w:rFonts w:ascii="Calibri" w:hAnsi="Calibri"/>
                <w:color w:val="334155"/>
                <w:sz w:val="18"/>
              </w:rPr>
              <w:t>Strictly bounds values between [0, 1]. Highly sensitive to outliers.</w:t>
            </w:r>
          </w:p>
        </w:tc>
        <w:tc>
          <w:tcPr>
            <w:tcW w:type="dxa" w:w="2016"/>
            <w:shd w:fill="F8FAFC"/>
            <w:tcMar>
              <w:top w:w="80" w:type="dxa"/>
              <w:bottom w:w="80" w:type="dxa"/>
              <w:left w:w="120" w:type="dxa"/>
              <w:right w:w="120" w:type="dxa"/>
            </w:tcMar>
          </w:tcPr>
          <w:p>
            <w:pPr>
              <w:spacing w:before="40" w:after="40"/>
            </w:pPr>
            <w:r>
              <w:rPr>
                <w:rFonts w:ascii="Calibri" w:hAnsi="Calibri"/>
                <w:color w:val="334155"/>
                <w:sz w:val="18"/>
              </w:rPr>
              <w:t>Image inputs, Neural Networks, Softmax outputs</w:t>
            </w:r>
          </w:p>
        </w:tc>
      </w:tr>
      <w:tr>
        <w:tc>
          <w:tcPr>
            <w:tcW w:type="dxa" w:w="2160"/>
            <w:shd w:fill="FFFFFF"/>
            <w:tcMar>
              <w:top w:w="80" w:type="dxa"/>
              <w:bottom w:w="80" w:type="dxa"/>
              <w:left w:w="120" w:type="dxa"/>
              <w:right w:w="120" w:type="dxa"/>
            </w:tcMar>
          </w:tcPr>
          <w:p>
            <w:pPr>
              <w:spacing w:before="40" w:after="40"/>
            </w:pPr>
            <w:r>
              <w:rPr>
                <w:rFonts w:ascii="Calibri" w:hAnsi="Calibri"/>
                <w:color w:val="334155"/>
                <w:sz w:val="18"/>
              </w:rPr>
              <w:t>RobustScaler</w:t>
            </w:r>
          </w:p>
        </w:tc>
        <w:tc>
          <w:tcPr>
            <w:tcW w:type="dxa" w:w="2592"/>
            <w:shd w:fill="FFFFFF"/>
            <w:tcMar>
              <w:top w:w="80" w:type="dxa"/>
              <w:bottom w:w="80" w:type="dxa"/>
              <w:left w:w="120" w:type="dxa"/>
              <w:right w:w="120" w:type="dxa"/>
            </w:tcMar>
          </w:tcPr>
          <w:p>
            <w:pPr>
              <w:spacing w:before="40" w:after="40"/>
            </w:pPr>
            <w:r>
              <w:rPr>
                <w:rFonts w:ascii="Calibri" w:hAnsi="Calibri"/>
                <w:color w:val="334155"/>
                <w:sz w:val="18"/>
              </w:rPr>
              <w:t>x_rob = (x - Q2) / (Q3 - Q1)</w:t>
            </w:r>
          </w:p>
        </w:tc>
        <w:tc>
          <w:tcPr>
            <w:tcW w:type="dxa" w:w="2592"/>
            <w:shd w:fill="FFFFFF"/>
            <w:tcMar>
              <w:top w:w="80" w:type="dxa"/>
              <w:bottom w:w="80" w:type="dxa"/>
              <w:left w:w="120" w:type="dxa"/>
              <w:right w:w="120" w:type="dxa"/>
            </w:tcMar>
          </w:tcPr>
          <w:p>
            <w:pPr>
              <w:spacing w:before="40" w:after="40"/>
            </w:pPr>
            <w:r>
              <w:rPr>
                <w:rFonts w:ascii="Calibri" w:hAnsi="Calibri"/>
                <w:color w:val="334155"/>
                <w:sz w:val="18"/>
              </w:rPr>
              <w:t>Uses Median and IQR. Completely robust against extreme outliers.</w:t>
            </w:r>
          </w:p>
        </w:tc>
        <w:tc>
          <w:tcPr>
            <w:tcW w:type="dxa" w:w="2016"/>
            <w:shd w:fill="FFFFFF"/>
            <w:tcMar>
              <w:top w:w="80" w:type="dxa"/>
              <w:bottom w:w="80" w:type="dxa"/>
              <w:left w:w="120" w:type="dxa"/>
              <w:right w:w="120" w:type="dxa"/>
            </w:tcMar>
          </w:tcPr>
          <w:p>
            <w:pPr>
              <w:spacing w:before="40" w:after="40"/>
            </w:pPr>
            <w:r>
              <w:rPr>
                <w:rFonts w:ascii="Calibri" w:hAnsi="Calibri"/>
                <w:color w:val="334155"/>
                <w:sz w:val="18"/>
              </w:rPr>
              <w:t>Cost &amp; transit duration with extreme delay tails</w:t>
            </w:r>
          </w:p>
        </w:tc>
      </w:tr>
    </w:tbl>
    <w:p>
      <w:pPr>
        <w:spacing w:after="80"/>
      </w:pPr>
    </w:p>
    <w:p>
      <w:r>
        <w:drawing>
          <wp:inline xmlns:a="http://schemas.openxmlformats.org/drawingml/2006/main" xmlns:pic="http://schemas.openxmlformats.org/drawingml/2006/picture">
            <wp:extent cx="5943600" cy="5220071"/>
            <wp:docPr id="6" name="Picture 6"/>
            <wp:cNvGraphicFramePr>
              <a:graphicFrameLocks noChangeAspect="1"/>
            </wp:cNvGraphicFramePr>
            <a:graphic>
              <a:graphicData uri="http://schemas.openxmlformats.org/drawingml/2006/picture">
                <pic:pic>
                  <pic:nvPicPr>
                    <pic:cNvPr id="0" name="correlation_matrix_pre_post.png"/>
                    <pic:cNvPicPr/>
                  </pic:nvPicPr>
                  <pic:blipFill>
                    <a:blip r:embed="rId14"/>
                    <a:stretch>
                      <a:fillRect/>
                    </a:stretch>
                  </pic:blipFill>
                  <pic:spPr>
                    <a:xfrm>
                      <a:off x="0" y="0"/>
                      <a:ext cx="5943600" cy="5220071"/>
                    </a:xfrm>
                    <a:prstGeom prst="rect"/>
                  </pic:spPr>
                </pic:pic>
              </a:graphicData>
            </a:graphic>
          </wp:inline>
        </w:drawing>
      </w:r>
    </w:p>
    <w:p>
      <w:pPr>
        <w:spacing w:before="40" w:after="160"/>
        <w:jc w:val="center"/>
      </w:pPr>
      <w:r>
        <w:rPr>
          <w:rFonts w:ascii="Calibri" w:hAnsi="Calibri"/>
          <w:i/>
          <w:color w:val="64748B"/>
          <w:sz w:val="17"/>
        </w:rPr>
        <w:t>Figure 6: Correlation Heatmap Across Cleaned and Engineered Logistics Features</w:t>
      </w:r>
    </w:p>
    <w:p>
      <w:pPr>
        <w:pStyle w:val="Heading1"/>
        <w:spacing w:before="280" w:after="120"/>
      </w:pPr>
      <w:r>
        <w:rPr>
          <w:rFonts w:ascii="Calibri" w:hAnsi="Calibri"/>
          <w:b/>
          <w:color w:val="0F2A4A"/>
          <w:sz w:val="32"/>
        </w:rPr>
        <w:t>7. Strategic Impact of Data Quality on Logistics Decision-Making</w:t>
      </w:r>
    </w:p>
    <w:p>
      <w:pPr>
        <w:spacing w:before="0" w:after="120" w:line="276" w:lineRule="auto"/>
      </w:pPr>
      <w:r>
        <w:rPr>
          <w:rFonts w:ascii="Calibri" w:hAnsi="Calibri"/>
          <w:color w:val="1F2937"/>
          <w:sz w:val="21"/>
        </w:rPr>
        <w:t>The phrase 'Garbage In, Garbage Out' is especially consequential in logistics. Uncleaned or improperly preprocessed data propagates compounding errors throughout the enterprise:</w:t>
      </w:r>
    </w:p>
    <w:tbl>
      <w:tblPr>
        <w:tblW w:type="auto" w:w="0"/>
        <w:jc w:val="center"/>
        <w:tblLayout w:type="fixed"/>
        <w:tblLook w:firstColumn="1" w:firstRow="1" w:lastColumn="0" w:lastRow="0" w:noHBand="0" w:noVBand="1" w:val="04A0"/>
      </w:tblPr>
      <w:tblGrid>
        <w:gridCol w:w="9936"/>
      </w:tblGrid>
      <w:tr>
        <w:tc>
          <w:tcPr>
            <w:tcW w:type="dxa" w:w="9360"/>
            <w:shd w:fill="F0F4F8"/>
            <w:tcMar>
              <w:top w:w="140" w:type="dxa"/>
              <w:bottom w:w="140" w:type="dxa"/>
              <w:left w:w="200" w:type="dxa"/>
              <w:right w:w="200" w:type="dxa"/>
            </w:tcMar>
            <w:tcBorders>
              <w:left w:val="single" w:sz="24" w:space="0" w:color="1E3A8A"/>
              <w:top w:val="none"/>
              <w:right w:val="none"/>
              <w:bottom w:val="none"/>
            </w:tcBorders>
          </w:tcPr>
          <w:p>
            <w:pPr>
              <w:spacing w:before="40" w:after="80"/>
            </w:pPr>
            <w:r>
              <w:rPr>
                <w:rFonts w:ascii="Calibri" w:hAnsi="Calibri"/>
                <w:b/>
                <w:color w:val="1E3A8A"/>
                <w:sz w:val="21"/>
              </w:rPr>
              <w:t>📌 ENTERPRISE IMPACT &amp; RISK MITIGATION</w:t>
              <w:br/>
            </w:r>
          </w:p>
          <w:p>
            <w:pPr>
              <w:spacing w:before="40" w:after="40"/>
            </w:pPr>
            <w:r>
              <w:rPr>
                <w:rFonts w:ascii="Calibri" w:hAnsi="Calibri"/>
                <w:color w:val="334155"/>
                <w:sz w:val="19"/>
              </w:rPr>
              <w:t>1. Dynamic Route Optimization: If GPS coordinates or transit durations are corrupted by unhandled sensor dropouts, dynamic routing engines miscalculate ETA, leading to missed delivery windows, SLA contract breaches, and driver overtime.</w:t>
            </w:r>
          </w:p>
          <w:p>
            <w:pPr>
              <w:spacing w:before="40" w:after="40"/>
            </w:pPr>
            <w:r>
              <w:rPr>
                <w:rFonts w:ascii="Calibri" w:hAnsi="Calibri"/>
                <w:color w:val="334155"/>
                <w:sz w:val="19"/>
              </w:rPr>
              <w:t>2. Automated Freight Billing &amp; 3PL Reconciliation: Flawed delivery cost metrics or missing distance records cause multi-million rupee discrepancies between 3PL invoices and internal audit balances.</w:t>
            </w:r>
          </w:p>
          <w:p>
            <w:pPr>
              <w:spacing w:before="40" w:after="40"/>
            </w:pPr>
            <w:r>
              <w:rPr>
                <w:rFonts w:ascii="Calibri" w:hAnsi="Calibri"/>
                <w:color w:val="334155"/>
                <w:sz w:val="19"/>
              </w:rPr>
              <w:t>3. Capacity Planning &amp; Hub Allocation: Distorted package weight distributions lead to vehicle overloading or under-utilization, increasing total cost per ton-kilometer.</w:t>
            </w:r>
          </w:p>
          <w:p>
            <w:pPr>
              <w:spacing w:before="40" w:after="40"/>
            </w:pPr>
            <w:r>
              <w:rPr>
                <w:rFonts w:ascii="Calibri" w:hAnsi="Calibri"/>
                <w:color w:val="334155"/>
                <w:sz w:val="19"/>
              </w:rPr>
              <w:t>4. Customer Trust &amp; NPS: Reliable proactive delay notifications depend entirely on accurate SLA variance telemetry. Clean preprocessing ensures accurate customer communication.</w:t>
            </w:r>
          </w:p>
        </w:tc>
      </w:tr>
    </w:tbl>
    <w:p>
      <w:pPr>
        <w:spacing w:after="120"/>
      </w:pPr>
    </w:p>
    <w:p>
      <w:pPr>
        <w:pStyle w:val="Heading1"/>
        <w:spacing w:before="280" w:after="120"/>
      </w:pPr>
      <w:r>
        <w:rPr>
          <w:rFonts w:ascii="Calibri" w:hAnsi="Calibri"/>
          <w:b/>
          <w:color w:val="0F2A4A"/>
          <w:sz w:val="32"/>
        </w:rPr>
        <w:t>8. Conclusion &amp; Deliverable Summary</w:t>
      </w:r>
    </w:p>
    <w:p>
      <w:pPr>
        <w:spacing w:before="0" w:after="120" w:line="276" w:lineRule="auto"/>
      </w:pPr>
      <w:r>
        <w:rPr>
          <w:rFonts w:ascii="Calibri" w:hAnsi="Calibri"/>
          <w:color w:val="1F2937"/>
          <w:sz w:val="21"/>
        </w:rPr>
        <w:t>This Week 2 project has established a rigorous, modular data preprocessing foundation for Indian logistics analytics. The pipeline successfully processed 25,000 raw dispatches, resolved UUID and timestamp artifacts, engineered 18 high-value domain features, and exported both clean tabular datasets and normalized tensors.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0F2A4A"/>
            <w:tcMar>
              <w:top w:w="100" w:type="dxa"/>
              <w:bottom w:w="100" w:type="dxa"/>
              <w:left w:w="120" w:type="dxa"/>
              <w:right w:w="120" w:type="dxa"/>
            </w:tcMar>
          </w:tcPr>
          <w:p>
            <w:pPr>
              <w:spacing w:before="40" w:after="40"/>
            </w:pPr>
            <w:r>
              <w:rPr>
                <w:rFonts w:ascii="Calibri" w:hAnsi="Calibri"/>
                <w:b/>
                <w:color w:val="FFFFFF"/>
                <w:sz w:val="19"/>
              </w:rPr>
              <w:t>Artifact Name</w:t>
            </w:r>
          </w:p>
        </w:tc>
        <w:tc>
          <w:tcPr>
            <w:tcW w:type="dxa" w:w="1440"/>
            <w:shd w:fill="0F2A4A"/>
            <w:tcMar>
              <w:top w:w="100" w:type="dxa"/>
              <w:bottom w:w="100" w:type="dxa"/>
              <w:left w:w="120" w:type="dxa"/>
              <w:right w:w="120" w:type="dxa"/>
            </w:tcMar>
          </w:tcPr>
          <w:p>
            <w:pPr>
              <w:spacing w:before="40" w:after="40"/>
            </w:pPr>
            <w:r>
              <w:rPr>
                <w:rFonts w:ascii="Calibri" w:hAnsi="Calibri"/>
                <w:b/>
                <w:color w:val="FFFFFF"/>
                <w:sz w:val="19"/>
              </w:rPr>
              <w:t>Format</w:t>
            </w:r>
          </w:p>
        </w:tc>
        <w:tc>
          <w:tcPr>
            <w:tcW w:type="dxa" w:w="2592"/>
            <w:shd w:fill="0F2A4A"/>
            <w:tcMar>
              <w:top w:w="100" w:type="dxa"/>
              <w:bottom w:w="100" w:type="dxa"/>
              <w:left w:w="120" w:type="dxa"/>
              <w:right w:w="120" w:type="dxa"/>
            </w:tcMar>
          </w:tcPr>
          <w:p>
            <w:pPr>
              <w:spacing w:before="40" w:after="40"/>
            </w:pPr>
            <w:r>
              <w:rPr>
                <w:rFonts w:ascii="Calibri" w:hAnsi="Calibri"/>
                <w:b/>
                <w:color w:val="FFFFFF"/>
                <w:sz w:val="19"/>
              </w:rPr>
              <w:t>Location in Repository</w:t>
            </w:r>
          </w:p>
        </w:tc>
        <w:tc>
          <w:tcPr>
            <w:tcW w:type="dxa" w:w="2736"/>
            <w:shd w:fill="0F2A4A"/>
            <w:tcMar>
              <w:top w:w="100" w:type="dxa"/>
              <w:bottom w:w="100" w:type="dxa"/>
              <w:left w:w="120" w:type="dxa"/>
              <w:right w:w="120" w:type="dxa"/>
            </w:tcMar>
          </w:tcPr>
          <w:p>
            <w:pPr>
              <w:spacing w:before="40" w:after="40"/>
            </w:pPr>
            <w:r>
              <w:rPr>
                <w:rFonts w:ascii="Calibri" w:hAnsi="Calibri"/>
                <w:b/>
                <w:color w:val="FFFFFF"/>
                <w:sz w:val="19"/>
              </w:rPr>
              <w:t>Description</w:t>
            </w:r>
          </w:p>
        </w:tc>
      </w:tr>
      <w:tr>
        <w:tc>
          <w:tcPr>
            <w:tcW w:type="dxa" w:w="2592"/>
            <w:shd w:fill="FFFFFF"/>
            <w:tcMar>
              <w:top w:w="80" w:type="dxa"/>
              <w:bottom w:w="80" w:type="dxa"/>
              <w:left w:w="120" w:type="dxa"/>
              <w:right w:w="120" w:type="dxa"/>
            </w:tcMar>
          </w:tcPr>
          <w:p>
            <w:pPr>
              <w:spacing w:before="40" w:after="40"/>
            </w:pPr>
            <w:r>
              <w:rPr>
                <w:rFonts w:ascii="Calibri" w:hAnsi="Calibri"/>
                <w:color w:val="334155"/>
                <w:sz w:val="18"/>
              </w:rPr>
              <w:t>Cleaned_Delivery_Logistics.csv</w:t>
            </w:r>
          </w:p>
        </w:tc>
        <w:tc>
          <w:tcPr>
            <w:tcW w:type="dxa" w:w="1440"/>
            <w:shd w:fill="FFFFFF"/>
            <w:tcMar>
              <w:top w:w="80" w:type="dxa"/>
              <w:bottom w:w="80" w:type="dxa"/>
              <w:left w:w="120" w:type="dxa"/>
              <w:right w:w="120" w:type="dxa"/>
            </w:tcMar>
          </w:tcPr>
          <w:p>
            <w:pPr>
              <w:spacing w:before="40" w:after="40"/>
            </w:pPr>
            <w:r>
              <w:rPr>
                <w:rFonts w:ascii="Calibri" w:hAnsi="Calibri"/>
                <w:color w:val="334155"/>
                <w:sz w:val="18"/>
              </w:rPr>
              <w:t>CSV Table</w:t>
            </w:r>
          </w:p>
        </w:tc>
        <w:tc>
          <w:tcPr>
            <w:tcW w:type="dxa" w:w="2592"/>
            <w:shd w:fill="FFFFFF"/>
            <w:tcMar>
              <w:top w:w="80" w:type="dxa"/>
              <w:bottom w:w="80" w:type="dxa"/>
              <w:left w:w="120" w:type="dxa"/>
              <w:right w:w="120" w:type="dxa"/>
            </w:tcMar>
          </w:tcPr>
          <w:p>
            <w:pPr>
              <w:spacing w:before="40" w:after="40"/>
            </w:pPr>
            <w:r>
              <w:rPr>
                <w:rFonts w:ascii="Calibri" w:hAnsi="Calibri"/>
                <w:color w:val="334155"/>
                <w:sz w:val="18"/>
              </w:rPr>
              <w:t>week-2/Cleaned_Delivery_Logistics.csv</w:t>
            </w:r>
          </w:p>
        </w:tc>
        <w:tc>
          <w:tcPr>
            <w:tcW w:type="dxa" w:w="2736"/>
            <w:shd w:fill="FFFFFF"/>
            <w:tcMar>
              <w:top w:w="80" w:type="dxa"/>
              <w:bottom w:w="80" w:type="dxa"/>
              <w:left w:w="120" w:type="dxa"/>
              <w:right w:w="120" w:type="dxa"/>
            </w:tcMar>
          </w:tcPr>
          <w:p>
            <w:pPr>
              <w:spacing w:before="40" w:after="40"/>
            </w:pPr>
            <w:r>
              <w:rPr>
                <w:rFonts w:ascii="Calibri" w:hAnsi="Calibri"/>
                <w:color w:val="334155"/>
                <w:sz w:val="18"/>
              </w:rPr>
              <w:t>Cleaned dataset with 25,000 records and 47 engineered columns</w:t>
            </w:r>
          </w:p>
        </w:tc>
      </w:tr>
      <w:tr>
        <w:tc>
          <w:tcPr>
            <w:tcW w:type="dxa" w:w="2592"/>
            <w:shd w:fill="F8FAFC"/>
            <w:tcMar>
              <w:top w:w="80" w:type="dxa"/>
              <w:bottom w:w="80" w:type="dxa"/>
              <w:left w:w="120" w:type="dxa"/>
              <w:right w:w="120" w:type="dxa"/>
            </w:tcMar>
          </w:tcPr>
          <w:p>
            <w:pPr>
              <w:spacing w:before="40" w:after="40"/>
            </w:pPr>
            <w:r>
              <w:rPr>
                <w:rFonts w:ascii="Calibri" w:hAnsi="Calibri"/>
                <w:color w:val="334155"/>
                <w:sz w:val="18"/>
              </w:rPr>
              <w:t>data_pipeline.py</w:t>
            </w:r>
          </w:p>
        </w:tc>
        <w:tc>
          <w:tcPr>
            <w:tcW w:type="dxa" w:w="1440"/>
            <w:shd w:fill="F8FAFC"/>
            <w:tcMar>
              <w:top w:w="80" w:type="dxa"/>
              <w:bottom w:w="80" w:type="dxa"/>
              <w:left w:w="120" w:type="dxa"/>
              <w:right w:w="120" w:type="dxa"/>
            </w:tcMar>
          </w:tcPr>
          <w:p>
            <w:pPr>
              <w:spacing w:before="40" w:after="40"/>
            </w:pPr>
            <w:r>
              <w:rPr>
                <w:rFonts w:ascii="Calibri" w:hAnsi="Calibri"/>
                <w:color w:val="334155"/>
                <w:sz w:val="18"/>
              </w:rPr>
              <w:t>Python Script</w:t>
            </w:r>
          </w:p>
        </w:tc>
        <w:tc>
          <w:tcPr>
            <w:tcW w:type="dxa" w:w="2592"/>
            <w:shd w:fill="F8FAFC"/>
            <w:tcMar>
              <w:top w:w="80" w:type="dxa"/>
              <w:bottom w:w="80" w:type="dxa"/>
              <w:left w:w="120" w:type="dxa"/>
              <w:right w:w="120" w:type="dxa"/>
            </w:tcMar>
          </w:tcPr>
          <w:p>
            <w:pPr>
              <w:spacing w:before="40" w:after="40"/>
            </w:pPr>
            <w:r>
              <w:rPr>
                <w:rFonts w:ascii="Calibri" w:hAnsi="Calibri"/>
                <w:color w:val="334155"/>
                <w:sz w:val="18"/>
              </w:rPr>
              <w:t>week-2/data_pipeline.py</w:t>
            </w:r>
          </w:p>
        </w:tc>
        <w:tc>
          <w:tcPr>
            <w:tcW w:type="dxa" w:w="2736"/>
            <w:shd w:fill="F8FAFC"/>
            <w:tcMar>
              <w:top w:w="80" w:type="dxa"/>
              <w:bottom w:w="80" w:type="dxa"/>
              <w:left w:w="120" w:type="dxa"/>
              <w:right w:w="120" w:type="dxa"/>
            </w:tcMar>
          </w:tcPr>
          <w:p>
            <w:pPr>
              <w:spacing w:before="40" w:after="40"/>
            </w:pPr>
            <w:r>
              <w:rPr>
                <w:rFonts w:ascii="Calibri" w:hAnsi="Calibri"/>
                <w:color w:val="334155"/>
                <w:sz w:val="18"/>
              </w:rPr>
              <w:t>Automated modular data cleaning, imputation, and scaling pipeline</w:t>
            </w:r>
          </w:p>
        </w:tc>
      </w:tr>
      <w:tr>
        <w:tc>
          <w:tcPr>
            <w:tcW w:type="dxa" w:w="2592"/>
            <w:shd w:fill="FFFFFF"/>
            <w:tcMar>
              <w:top w:w="80" w:type="dxa"/>
              <w:bottom w:w="80" w:type="dxa"/>
              <w:left w:w="120" w:type="dxa"/>
              <w:right w:w="120" w:type="dxa"/>
            </w:tcMar>
          </w:tcPr>
          <w:p>
            <w:pPr>
              <w:spacing w:before="40" w:after="40"/>
            </w:pPr>
            <w:r>
              <w:rPr>
                <w:rFonts w:ascii="Calibri" w:hAnsi="Calibri"/>
                <w:color w:val="334155"/>
                <w:sz w:val="18"/>
              </w:rPr>
              <w:t>data_cleaning_and_preprocessing.ipynb</w:t>
            </w:r>
          </w:p>
        </w:tc>
        <w:tc>
          <w:tcPr>
            <w:tcW w:type="dxa" w:w="1440"/>
            <w:shd w:fill="FFFFFF"/>
            <w:tcMar>
              <w:top w:w="80" w:type="dxa"/>
              <w:bottom w:w="80" w:type="dxa"/>
              <w:left w:w="120" w:type="dxa"/>
              <w:right w:w="120" w:type="dxa"/>
            </w:tcMar>
          </w:tcPr>
          <w:p>
            <w:pPr>
              <w:spacing w:before="40" w:after="40"/>
            </w:pPr>
            <w:r>
              <w:rPr>
                <w:rFonts w:ascii="Calibri" w:hAnsi="Calibri"/>
                <w:color w:val="334155"/>
                <w:sz w:val="18"/>
              </w:rPr>
              <w:t>Jupyter Notebook</w:t>
            </w:r>
          </w:p>
        </w:tc>
        <w:tc>
          <w:tcPr>
            <w:tcW w:type="dxa" w:w="2592"/>
            <w:shd w:fill="FFFFFF"/>
            <w:tcMar>
              <w:top w:w="80" w:type="dxa"/>
              <w:bottom w:w="80" w:type="dxa"/>
              <w:left w:w="120" w:type="dxa"/>
              <w:right w:w="120" w:type="dxa"/>
            </w:tcMar>
          </w:tcPr>
          <w:p>
            <w:pPr>
              <w:spacing w:before="40" w:after="40"/>
            </w:pPr>
            <w:r>
              <w:rPr>
                <w:rFonts w:ascii="Calibri" w:hAnsi="Calibri"/>
                <w:color w:val="334155"/>
                <w:sz w:val="18"/>
              </w:rPr>
              <w:t>week-2/data_cleaning_and_preprocessing.ipynb</w:t>
            </w:r>
          </w:p>
        </w:tc>
        <w:tc>
          <w:tcPr>
            <w:tcW w:type="dxa" w:w="2736"/>
            <w:shd w:fill="FFFFFF"/>
            <w:tcMar>
              <w:top w:w="80" w:type="dxa"/>
              <w:bottom w:w="80" w:type="dxa"/>
              <w:left w:w="120" w:type="dxa"/>
              <w:right w:w="120" w:type="dxa"/>
            </w:tcMar>
          </w:tcPr>
          <w:p>
            <w:pPr>
              <w:spacing w:before="40" w:after="40"/>
            </w:pPr>
            <w:r>
              <w:rPr>
                <w:rFonts w:ascii="Calibri" w:hAnsi="Calibri"/>
                <w:color w:val="334155"/>
                <w:sz w:val="18"/>
              </w:rPr>
              <w:t>Step-by-step interactive notebook with profiling, models, and visual charts</w:t>
            </w:r>
          </w:p>
        </w:tc>
      </w:tr>
      <w:tr>
        <w:tc>
          <w:tcPr>
            <w:tcW w:type="dxa" w:w="2592"/>
            <w:shd w:fill="F8FAFC"/>
            <w:tcMar>
              <w:top w:w="80" w:type="dxa"/>
              <w:bottom w:w="80" w:type="dxa"/>
              <w:left w:w="120" w:type="dxa"/>
              <w:right w:w="120" w:type="dxa"/>
            </w:tcMar>
          </w:tcPr>
          <w:p>
            <w:pPr>
              <w:spacing w:before="40" w:after="40"/>
            </w:pPr>
            <w:r>
              <w:rPr>
                <w:rFonts w:ascii="Calibri" w:hAnsi="Calibri"/>
                <w:color w:val="334155"/>
                <w:sz w:val="18"/>
              </w:rPr>
              <w:t>Week_2_Report.docx</w:t>
            </w:r>
          </w:p>
        </w:tc>
        <w:tc>
          <w:tcPr>
            <w:tcW w:type="dxa" w:w="1440"/>
            <w:shd w:fill="F8FAFC"/>
            <w:tcMar>
              <w:top w:w="80" w:type="dxa"/>
              <w:bottom w:w="80" w:type="dxa"/>
              <w:left w:w="120" w:type="dxa"/>
              <w:right w:w="120" w:type="dxa"/>
            </w:tcMar>
          </w:tcPr>
          <w:p>
            <w:pPr>
              <w:spacing w:before="40" w:after="40"/>
            </w:pPr>
            <w:r>
              <w:rPr>
                <w:rFonts w:ascii="Calibri" w:hAnsi="Calibri"/>
                <w:color w:val="334155"/>
                <w:sz w:val="18"/>
              </w:rPr>
              <w:t>Word Document</w:t>
            </w:r>
          </w:p>
        </w:tc>
        <w:tc>
          <w:tcPr>
            <w:tcW w:type="dxa" w:w="2592"/>
            <w:shd w:fill="F8FAFC"/>
            <w:tcMar>
              <w:top w:w="80" w:type="dxa"/>
              <w:bottom w:w="80" w:type="dxa"/>
              <w:left w:w="120" w:type="dxa"/>
              <w:right w:w="120" w:type="dxa"/>
            </w:tcMar>
          </w:tcPr>
          <w:p>
            <w:pPr>
              <w:spacing w:before="40" w:after="40"/>
            </w:pPr>
            <w:r>
              <w:rPr>
                <w:rFonts w:ascii="Calibri" w:hAnsi="Calibri"/>
                <w:color w:val="334155"/>
                <w:sz w:val="18"/>
              </w:rPr>
              <w:t>week-2/Week_2_Data_Collection_Cleaning_and_Preprocessing_Report.docx</w:t>
            </w:r>
          </w:p>
        </w:tc>
        <w:tc>
          <w:tcPr>
            <w:tcW w:type="dxa" w:w="2736"/>
            <w:shd w:fill="F8FAFC"/>
            <w:tcMar>
              <w:top w:w="80" w:type="dxa"/>
              <w:bottom w:w="80" w:type="dxa"/>
              <w:left w:w="120" w:type="dxa"/>
              <w:right w:w="120" w:type="dxa"/>
            </w:tcMar>
          </w:tcPr>
          <w:p>
            <w:pPr>
              <w:spacing w:before="40" w:after="40"/>
            </w:pPr>
            <w:r>
              <w:rPr>
                <w:rFonts w:ascii="Calibri" w:hAnsi="Calibri"/>
                <w:color w:val="334155"/>
                <w:sz w:val="18"/>
              </w:rPr>
              <w:t>Comprehensive executive report with full methodological documentation</w:t>
            </w:r>
          </w:p>
        </w:tc>
      </w:tr>
      <w:tr>
        <w:tc>
          <w:tcPr>
            <w:tcW w:type="dxa" w:w="2592"/>
            <w:shd w:fill="FFFFFF"/>
            <w:tcMar>
              <w:top w:w="80" w:type="dxa"/>
              <w:bottom w:w="80" w:type="dxa"/>
              <w:left w:w="120" w:type="dxa"/>
              <w:right w:w="120" w:type="dxa"/>
            </w:tcMar>
          </w:tcPr>
          <w:p>
            <w:pPr>
              <w:spacing w:before="40" w:after="40"/>
            </w:pPr>
            <w:r>
              <w:rPr>
                <w:rFonts w:ascii="Calibri" w:hAnsi="Calibri"/>
                <w:color w:val="334155"/>
                <w:sz w:val="18"/>
              </w:rPr>
              <w:t>Figures Suite</w:t>
            </w:r>
          </w:p>
        </w:tc>
        <w:tc>
          <w:tcPr>
            <w:tcW w:type="dxa" w:w="1440"/>
            <w:shd w:fill="FFFFFF"/>
            <w:tcMar>
              <w:top w:w="80" w:type="dxa"/>
              <w:bottom w:w="80" w:type="dxa"/>
              <w:left w:w="120" w:type="dxa"/>
              <w:right w:w="120" w:type="dxa"/>
            </w:tcMar>
          </w:tcPr>
          <w:p>
            <w:pPr>
              <w:spacing w:before="40" w:after="40"/>
            </w:pPr>
            <w:r>
              <w:rPr>
                <w:rFonts w:ascii="Calibri" w:hAnsi="Calibri"/>
                <w:color w:val="334155"/>
                <w:sz w:val="18"/>
              </w:rPr>
              <w:t>PNG (300 DPI)</w:t>
            </w:r>
          </w:p>
        </w:tc>
        <w:tc>
          <w:tcPr>
            <w:tcW w:type="dxa" w:w="2592"/>
            <w:shd w:fill="FFFFFF"/>
            <w:tcMar>
              <w:top w:w="80" w:type="dxa"/>
              <w:bottom w:w="80" w:type="dxa"/>
              <w:left w:w="120" w:type="dxa"/>
              <w:right w:w="120" w:type="dxa"/>
            </w:tcMar>
          </w:tcPr>
          <w:p>
            <w:pPr>
              <w:spacing w:before="40" w:after="40"/>
            </w:pPr>
            <w:r>
              <w:rPr>
                <w:rFonts w:ascii="Calibri" w:hAnsi="Calibri"/>
                <w:color w:val="334155"/>
                <w:sz w:val="18"/>
              </w:rPr>
              <w:t>week-2/figures/*.png</w:t>
            </w:r>
          </w:p>
        </w:tc>
        <w:tc>
          <w:tcPr>
            <w:tcW w:type="dxa" w:w="2736"/>
            <w:shd w:fill="FFFFFF"/>
            <w:tcMar>
              <w:top w:w="80" w:type="dxa"/>
              <w:bottom w:w="80" w:type="dxa"/>
              <w:left w:w="120" w:type="dxa"/>
              <w:right w:w="120" w:type="dxa"/>
            </w:tcMar>
          </w:tcPr>
          <w:p>
            <w:pPr>
              <w:spacing w:before="40" w:after="40"/>
            </w:pPr>
            <w:r>
              <w:rPr>
                <w:rFonts w:ascii="Calibri" w:hAnsi="Calibri"/>
                <w:color w:val="334155"/>
                <w:sz w:val="18"/>
              </w:rPr>
              <w:t>6 high-resolution publication charts illustrating data prep stages</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