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A365D"/>
          <w:sz w:val="44"/>
        </w:rPr>
        <w:t>Advanced Data Analysis and Visualization in Logistics</w:t>
      </w:r>
    </w:p>
    <w:p>
      <w:pPr>
        <w:spacing w:before="0" w:after="200"/>
      </w:pPr>
      <w:r>
        <w:rPr>
          <w:i/>
          <w:color w:val="4A5568"/>
          <w:sz w:val="24"/>
        </w:rPr>
        <w:t>In-Depth Exploratory Statistics, Methodological Visualizations, and Operational Bottleneck Diagnostics</w:t>
      </w:r>
    </w:p>
    <w:tbl>
      <w:tblPr>
        <w:tblW w:type="auto" w:w="0"/>
        <w:jc w:val="center"/>
        <w:tblLook w:firstColumn="1" w:firstRow="1" w:lastColumn="0" w:lastRow="0" w:noHBand="0" w:noVBand="1" w:val="04A0"/>
      </w:tblPr>
      <w:tblGrid>
        <w:gridCol w:w="4680"/>
        <w:gridCol w:w="4680"/>
      </w:tblGrid>
      <w:tr>
        <w:tc>
          <w:tcPr>
            <w:tcW w:type="dxa" w:w="4680"/>
            <w:shd w:fill="EDF2F7"/>
            <w:tcMar>
              <w:top w:w="70" w:type="dxa"/>
              <w:bottom w:w="70" w:type="dxa"/>
              <w:left w:w="100" w:type="dxa"/>
              <w:right w:w="100" w:type="dxa"/>
            </w:tcMar>
          </w:tcPr>
          <w:p>
            <w:pPr>
              <w:spacing w:after="0"/>
            </w:pPr>
            <w:r>
              <w:rPr>
                <w:b/>
                <w:color w:val="2B6CB0"/>
                <w:sz w:val="17"/>
              </w:rPr>
              <w:t xml:space="preserve">Role / Author: </w:t>
            </w:r>
            <w:r>
              <w:rPr>
                <w:color w:val="2D3748"/>
                <w:sz w:val="17"/>
              </w:rPr>
              <w:t>Logistics Data Analyst Intern</w:t>
            </w:r>
          </w:p>
        </w:tc>
        <w:tc>
          <w:tcPr>
            <w:tcW w:type="dxa" w:w="4680"/>
            <w:shd w:fill="EDF2F7"/>
            <w:tcMar>
              <w:top w:w="70" w:type="dxa"/>
              <w:bottom w:w="70" w:type="dxa"/>
              <w:left w:w="100" w:type="dxa"/>
              <w:right w:w="100" w:type="dxa"/>
            </w:tcMar>
          </w:tcPr>
          <w:p>
            <w:pPr>
              <w:spacing w:after="0"/>
            </w:pPr>
            <w:r>
              <w:rPr>
                <w:b/>
                <w:color w:val="2B6CB0"/>
                <w:sz w:val="17"/>
              </w:rPr>
              <w:t xml:space="preserve">Project Scope: </w:t>
            </w:r>
            <w:r>
              <w:rPr>
                <w:color w:val="2D3748"/>
                <w:sz w:val="17"/>
              </w:rPr>
              <w:t>Week 3: Advanced EDA &amp; Visualization</w:t>
            </w:r>
          </w:p>
        </w:tc>
      </w:tr>
      <w:tr>
        <w:tc>
          <w:tcPr>
            <w:tcW w:type="dxa" w:w="4680"/>
            <w:shd w:fill="EDF2F7"/>
            <w:tcMar>
              <w:top w:w="70" w:type="dxa"/>
              <w:bottom w:w="70" w:type="dxa"/>
              <w:left w:w="100" w:type="dxa"/>
              <w:right w:w="100" w:type="dxa"/>
            </w:tcMar>
          </w:tcPr>
          <w:p>
            <w:pPr>
              <w:spacing w:after="0"/>
            </w:pPr>
            <w:r>
              <w:rPr>
                <w:b/>
                <w:color w:val="2B6CB0"/>
                <w:sz w:val="17"/>
              </w:rPr>
              <w:t xml:space="preserve">Dataset Scale: </w:t>
            </w:r>
            <w:r>
              <w:rPr>
                <w:color w:val="2D3748"/>
                <w:sz w:val="17"/>
              </w:rPr>
              <w:t>25,000 Shipment Records (Delivery_Logistics.csv)</w:t>
            </w:r>
          </w:p>
        </w:tc>
        <w:tc>
          <w:tcPr>
            <w:tcW w:type="dxa" w:w="4680"/>
            <w:shd w:fill="EDF2F7"/>
            <w:tcMar>
              <w:top w:w="70" w:type="dxa"/>
              <w:bottom w:w="70" w:type="dxa"/>
              <w:left w:w="100" w:type="dxa"/>
              <w:right w:w="100" w:type="dxa"/>
            </w:tcMar>
          </w:tcPr>
          <w:p>
            <w:pPr>
              <w:spacing w:after="0"/>
            </w:pPr>
            <w:r>
              <w:rPr>
                <w:b/>
                <w:color w:val="2B6CB0"/>
                <w:sz w:val="17"/>
              </w:rPr>
              <w:t xml:space="preserve">Submission Date: </w:t>
            </w:r>
            <w:r>
              <w:rPr>
                <w:color w:val="2D3748"/>
                <w:sz w:val="17"/>
              </w:rPr>
              <w:t>October 2026</w:t>
            </w:r>
          </w:p>
        </w:tc>
      </w:tr>
    </w:tbl>
    <w:p>
      <w:pPr>
        <w:spacing w:after="160"/>
      </w:pPr>
    </w:p>
    <w:p>
      <w:pPr>
        <w:pStyle w:val="Heading1"/>
      </w:pPr>
      <w:r>
        <w:rPr>
          <w:b/>
          <w:color w:val="1A365D"/>
        </w:rPr>
        <w:t>1. Executive Summary &amp; Logistics Problem Formulation</w:t>
      </w:r>
    </w:p>
    <w:p>
      <w:r>
        <w:t>In modern multi-echelon supply chains, data visualization serves not merely as a reporting artifact, but as an indispensable diagnostic instrument for isolating operational friction, line-haul inefficiencies, and Service Level Agreement (SLA) vulnerabilities. The last-mile distribution segment absorbs between 41% and 53% of overall logistics expenditures, making precision analytics the cornerstone of enterprise profitability and customer retention.</w:t>
      </w:r>
    </w:p>
    <w:p>
      <w:r>
        <w:t>This project undertakes an advanced exploratory data analysis (EDA) and multi-dimensional visualization study on an authentic Indian Logistics Operations dataset comprising 25,000 shipment dispatches. The network spans nine major third-party logistics (3PL) carriers (Delhivery, Blue Dart, Xpressbees, Shadowfax, DHL, Ekart, Ecom Express, FedEx, Amazon Logistics), six vehicle classes (including EV green fleets), four delivery service contracts (Express, Same Day, Two Day, Standard), and five primary Indian economic corridors (North, South, East, West, Central).</w:t>
      </w:r>
    </w:p>
    <w:tbl>
      <w:tblPr>
        <w:tblW w:type="auto" w:w="0"/>
        <w:jc w:val="center"/>
        <w:tblLook w:firstColumn="1" w:firstRow="1" w:lastColumn="0" w:lastRow="0" w:noHBand="0" w:noVBand="1" w:val="04A0"/>
      </w:tblPr>
      <w:tblGrid>
        <w:gridCol w:w="9360"/>
      </w:tblGrid>
      <w:tr>
        <w:tc>
          <w:tcPr>
            <w:tcW w:type="dxa" w:w="9360"/>
            <w:shd w:fill="EBF8FF"/>
            <w:tcMar>
              <w:top w:w="130" w:type="dxa"/>
              <w:bottom w:w="130" w:type="dxa"/>
              <w:left w:w="180" w:type="dxa"/>
              <w:right w:w="180" w:type="dxa"/>
            </w:tcMar>
            <w:tcBorders>
              <w:top w:val="none"/>
              <w:left w:val="single" w:sz="24" w:space="0" w:color="3182CE"/>
              <w:bottom w:val="none"/>
              <w:right w:val="none"/>
            </w:tcBorders>
          </w:tcPr>
          <w:p>
            <w:pPr>
              <w:spacing w:before="40" w:after="40"/>
            </w:pPr>
            <w:r>
              <w:rPr>
                <w:rFonts w:ascii="Arial" w:hAnsi="Arial"/>
                <w:b/>
                <w:color w:val="2B6CB0"/>
                <w:sz w:val="19"/>
              </w:rPr>
              <w:t xml:space="preserve">[EXECUTIVE DIAGNOSTIC SUMMARY] </w:t>
            </w:r>
            <w:r>
              <w:rPr>
                <w:rFonts w:ascii="Arial" w:hAnsi="Arial"/>
                <w:color w:val="2D3748"/>
                <w:sz w:val="18"/>
              </w:rPr>
              <w:t>Advanced visual and statistical interrogation isolates a systemic operational bottleneck in expedited fulfillment tiers: Express shipments suffer an unacceptable 73.78% delay rate and a 14.42% complete failure rate (CSAT collapsing to 2.72/5.0), while standard ground shipments achieve 0.00% delay rate. Furthermore, severe meteorological disruptions (stormy and rainy weather) drive delay probabilities to 41.45% and 37.35% respectively. This report couples rigorous statistical distributions with nine methodologically justified visual models to prescribe actionable supply chain interventions.</w:t>
            </w:r>
          </w:p>
        </w:tc>
      </w:tr>
    </w:tbl>
    <w:p>
      <w:pPr>
        <w:spacing w:after="80"/>
      </w:pPr>
    </w:p>
    <w:p>
      <w:pPr>
        <w:pStyle w:val="Heading1"/>
      </w:pPr>
      <w:r>
        <w:rPr>
          <w:b/>
          <w:color w:val="1A365D"/>
        </w:rPr>
        <w:t>2. Indian Logistics Dataset Structure &amp; Variable Definitions</w:t>
      </w:r>
    </w:p>
    <w:p>
      <w:r>
        <w:t>The dataset captures 25,000 real-world shipment telematics across 15 attributes, augmented with four domain-specific engineered features: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160"/>
            <w:vAlign w:val="center"/>
            <w:tcMar>
              <w:top w:w="110" w:type="dxa"/>
              <w:bottom w:w="110" w:type="dxa"/>
              <w:left w:w="130" w:type="dxa"/>
              <w:right w:w="130" w:type="dxa"/>
            </w:tcMar>
            <w:shd w:fill="1A365D"/>
          </w:tcPr>
          <w:p>
            <w:pPr>
              <w:jc w:val="left"/>
            </w:pPr>
            <w:r>
              <w:rPr>
                <w:rFonts w:ascii="Arial" w:hAnsi="Arial"/>
                <w:b/>
                <w:color w:val="FFFFFF"/>
                <w:sz w:val="18"/>
              </w:rPr>
              <w:t>Attribute / Feature</w:t>
            </w:r>
          </w:p>
        </w:tc>
        <w:tc>
          <w:tcPr>
            <w:tcW w:type="dxa" w:w="1440"/>
            <w:vAlign w:val="center"/>
            <w:tcMar>
              <w:top w:w="110" w:type="dxa"/>
              <w:bottom w:w="110" w:type="dxa"/>
              <w:left w:w="130" w:type="dxa"/>
              <w:right w:w="130" w:type="dxa"/>
            </w:tcMar>
            <w:shd w:fill="1A365D"/>
          </w:tcPr>
          <w:p>
            <w:pPr>
              <w:jc w:val="left"/>
            </w:pPr>
            <w:r>
              <w:rPr>
                <w:rFonts w:ascii="Arial" w:hAnsi="Arial"/>
                <w:b/>
                <w:color w:val="FFFFFF"/>
                <w:sz w:val="18"/>
              </w:rPr>
              <w:t>Data Type</w:t>
            </w:r>
          </w:p>
        </w:tc>
        <w:tc>
          <w:tcPr>
            <w:tcW w:type="dxa" w:w="2592"/>
            <w:vAlign w:val="center"/>
            <w:tcMar>
              <w:top w:w="110" w:type="dxa"/>
              <w:bottom w:w="110" w:type="dxa"/>
              <w:left w:w="130" w:type="dxa"/>
              <w:right w:w="130" w:type="dxa"/>
            </w:tcMar>
            <w:shd w:fill="1A365D"/>
          </w:tcPr>
          <w:p>
            <w:pPr>
              <w:jc w:val="left"/>
            </w:pPr>
            <w:r>
              <w:rPr>
                <w:rFonts w:ascii="Arial" w:hAnsi="Arial"/>
                <w:b/>
                <w:color w:val="FFFFFF"/>
                <w:sz w:val="18"/>
              </w:rPr>
              <w:t>Operational Domain Role</w:t>
            </w:r>
          </w:p>
        </w:tc>
        <w:tc>
          <w:tcPr>
            <w:tcW w:type="dxa" w:w="3168"/>
            <w:vAlign w:val="center"/>
            <w:tcMar>
              <w:top w:w="110" w:type="dxa"/>
              <w:bottom w:w="110" w:type="dxa"/>
              <w:left w:w="130" w:type="dxa"/>
              <w:right w:w="130" w:type="dxa"/>
            </w:tcMar>
            <w:shd w:fill="1A365D"/>
          </w:tcPr>
          <w:p>
            <w:pPr>
              <w:jc w:val="left"/>
            </w:pPr>
            <w:r>
              <w:rPr>
                <w:rFonts w:ascii="Arial" w:hAnsi="Arial"/>
                <w:b/>
                <w:color w:val="FFFFFF"/>
                <w:sz w:val="18"/>
              </w:rPr>
              <w:t>Descriptive Summary / Domain Range</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delivery_id</w:t>
            </w:r>
          </w:p>
        </w:tc>
        <w:tc>
          <w:tcPr>
            <w:tcW w:type="dxa" w:w="1440"/>
            <w:vAlign w:val="center"/>
            <w:tcMar>
              <w:top w:w="110" w:type="dxa"/>
              <w:bottom w:w="110" w:type="dxa"/>
              <w:left w:w="130" w:type="dxa"/>
              <w:right w:w="130" w:type="dxa"/>
            </w:tcMar>
            <w:shd w:fill="F7FAFC"/>
          </w:tcPr>
          <w:p>
            <w:r>
              <w:rPr>
                <w:rFonts w:ascii="Arial" w:hAnsi="Arial"/>
                <w:color w:val="2D3748"/>
                <w:sz w:val="17"/>
              </w:rPr>
              <w:t>Numeric (ID)</w:t>
            </w:r>
          </w:p>
        </w:tc>
        <w:tc>
          <w:tcPr>
            <w:tcW w:type="dxa" w:w="2592"/>
            <w:vAlign w:val="center"/>
            <w:tcMar>
              <w:top w:w="110" w:type="dxa"/>
              <w:bottom w:w="110" w:type="dxa"/>
              <w:left w:w="130" w:type="dxa"/>
              <w:right w:w="130" w:type="dxa"/>
            </w:tcMar>
            <w:shd w:fill="F7FAFC"/>
          </w:tcPr>
          <w:p>
            <w:r>
              <w:rPr>
                <w:rFonts w:ascii="Arial" w:hAnsi="Arial"/>
                <w:color w:val="2D3748"/>
                <w:sz w:val="17"/>
              </w:rPr>
              <w:t>Consignment Identifier</w:t>
            </w:r>
          </w:p>
        </w:tc>
        <w:tc>
          <w:tcPr>
            <w:tcW w:type="dxa" w:w="3168"/>
            <w:vAlign w:val="center"/>
            <w:tcMar>
              <w:top w:w="110" w:type="dxa"/>
              <w:bottom w:w="110" w:type="dxa"/>
              <w:left w:w="130" w:type="dxa"/>
              <w:right w:w="130" w:type="dxa"/>
            </w:tcMar>
            <w:shd w:fill="F7FAFC"/>
          </w:tcPr>
          <w:p>
            <w:r>
              <w:rPr>
                <w:rFonts w:ascii="Arial" w:hAnsi="Arial"/>
                <w:color w:val="2D3748"/>
                <w:sz w:val="17"/>
              </w:rPr>
              <w:t>24,502 distinct keys across 25,000 records.</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delivery_partner</w:t>
            </w:r>
          </w:p>
        </w:tc>
        <w:tc>
          <w:tcPr>
            <w:tcW w:type="dxa" w:w="1440"/>
            <w:vAlign w:val="center"/>
            <w:tcMar>
              <w:top w:w="110" w:type="dxa"/>
              <w:bottom w:w="110" w:type="dxa"/>
              <w:left w:w="130" w:type="dxa"/>
              <w:right w:w="130" w:type="dxa"/>
            </w:tcMar>
            <w:shd w:fill="FFFFFF"/>
          </w:tcPr>
          <w:p>
            <w:r>
              <w:rPr>
                <w:rFonts w:ascii="Arial" w:hAnsi="Arial"/>
                <w:color w:val="2D3748"/>
                <w:sz w:val="17"/>
              </w:rPr>
              <w:t>Categorical</w:t>
            </w:r>
          </w:p>
        </w:tc>
        <w:tc>
          <w:tcPr>
            <w:tcW w:type="dxa" w:w="2592"/>
            <w:vAlign w:val="center"/>
            <w:tcMar>
              <w:top w:w="110" w:type="dxa"/>
              <w:bottom w:w="110" w:type="dxa"/>
              <w:left w:w="130" w:type="dxa"/>
              <w:right w:w="130" w:type="dxa"/>
            </w:tcMar>
            <w:shd w:fill="FFFFFF"/>
          </w:tcPr>
          <w:p>
            <w:r>
              <w:rPr>
                <w:rFonts w:ascii="Arial" w:hAnsi="Arial"/>
                <w:color w:val="2D3748"/>
                <w:sz w:val="17"/>
              </w:rPr>
              <w:t>3PL Service Provider</w:t>
            </w:r>
          </w:p>
        </w:tc>
        <w:tc>
          <w:tcPr>
            <w:tcW w:type="dxa" w:w="3168"/>
            <w:vAlign w:val="center"/>
            <w:tcMar>
              <w:top w:w="110" w:type="dxa"/>
              <w:bottom w:w="110" w:type="dxa"/>
              <w:left w:w="130" w:type="dxa"/>
              <w:right w:w="130" w:type="dxa"/>
            </w:tcMar>
            <w:shd w:fill="FFFFFF"/>
          </w:tcPr>
          <w:p>
            <w:r>
              <w:rPr>
                <w:rFonts w:ascii="Arial" w:hAnsi="Arial"/>
                <w:color w:val="2D3748"/>
                <w:sz w:val="17"/>
              </w:rPr>
              <w:t>9 Indian carriers: Delhivery, FedEx, DHL, Ekart, etc.</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package_type</w:t>
            </w:r>
          </w:p>
        </w:tc>
        <w:tc>
          <w:tcPr>
            <w:tcW w:type="dxa" w:w="1440"/>
            <w:vAlign w:val="center"/>
            <w:tcMar>
              <w:top w:w="110" w:type="dxa"/>
              <w:bottom w:w="110" w:type="dxa"/>
              <w:left w:w="130" w:type="dxa"/>
              <w:right w:w="130" w:type="dxa"/>
            </w:tcMar>
            <w:shd w:fill="F7FAFC"/>
          </w:tcPr>
          <w:p>
            <w:r>
              <w:rPr>
                <w:rFonts w:ascii="Arial" w:hAnsi="Arial"/>
                <w:color w:val="2D3748"/>
                <w:sz w:val="17"/>
              </w:rPr>
              <w:t>Categorical</w:t>
            </w:r>
          </w:p>
        </w:tc>
        <w:tc>
          <w:tcPr>
            <w:tcW w:type="dxa" w:w="2592"/>
            <w:vAlign w:val="center"/>
            <w:tcMar>
              <w:top w:w="110" w:type="dxa"/>
              <w:bottom w:w="110" w:type="dxa"/>
              <w:left w:w="130" w:type="dxa"/>
              <w:right w:w="130" w:type="dxa"/>
            </w:tcMar>
            <w:shd w:fill="F7FAFC"/>
          </w:tcPr>
          <w:p>
            <w:r>
              <w:rPr>
                <w:rFonts w:ascii="Arial" w:hAnsi="Arial"/>
                <w:color w:val="2D3748"/>
                <w:sz w:val="17"/>
              </w:rPr>
              <w:t>Consignment Commodity</w:t>
            </w:r>
          </w:p>
        </w:tc>
        <w:tc>
          <w:tcPr>
            <w:tcW w:type="dxa" w:w="3168"/>
            <w:vAlign w:val="center"/>
            <w:tcMar>
              <w:top w:w="110" w:type="dxa"/>
              <w:bottom w:w="110" w:type="dxa"/>
              <w:left w:w="130" w:type="dxa"/>
              <w:right w:w="130" w:type="dxa"/>
            </w:tcMar>
            <w:shd w:fill="F7FAFC"/>
          </w:tcPr>
          <w:p>
            <w:r>
              <w:rPr>
                <w:rFonts w:ascii="Arial" w:hAnsi="Arial"/>
                <w:color w:val="2D3748"/>
                <w:sz w:val="17"/>
              </w:rPr>
              <w:t>9 categories: Fragile, Pharmacy, Automobile, Electronics, etc.</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vehicle_type</w:t>
            </w:r>
          </w:p>
        </w:tc>
        <w:tc>
          <w:tcPr>
            <w:tcW w:type="dxa" w:w="1440"/>
            <w:vAlign w:val="center"/>
            <w:tcMar>
              <w:top w:w="110" w:type="dxa"/>
              <w:bottom w:w="110" w:type="dxa"/>
              <w:left w:w="130" w:type="dxa"/>
              <w:right w:w="130" w:type="dxa"/>
            </w:tcMar>
            <w:shd w:fill="FFFFFF"/>
          </w:tcPr>
          <w:p>
            <w:r>
              <w:rPr>
                <w:rFonts w:ascii="Arial" w:hAnsi="Arial"/>
                <w:color w:val="2D3748"/>
                <w:sz w:val="17"/>
              </w:rPr>
              <w:t>Categorical</w:t>
            </w:r>
          </w:p>
        </w:tc>
        <w:tc>
          <w:tcPr>
            <w:tcW w:type="dxa" w:w="2592"/>
            <w:vAlign w:val="center"/>
            <w:tcMar>
              <w:top w:w="110" w:type="dxa"/>
              <w:bottom w:w="110" w:type="dxa"/>
              <w:left w:w="130" w:type="dxa"/>
              <w:right w:w="130" w:type="dxa"/>
            </w:tcMar>
            <w:shd w:fill="FFFFFF"/>
          </w:tcPr>
          <w:p>
            <w:r>
              <w:rPr>
                <w:rFonts w:ascii="Arial" w:hAnsi="Arial"/>
                <w:color w:val="2D3748"/>
                <w:sz w:val="17"/>
              </w:rPr>
              <w:t>Transport Fleet Class</w:t>
            </w:r>
          </w:p>
        </w:tc>
        <w:tc>
          <w:tcPr>
            <w:tcW w:type="dxa" w:w="3168"/>
            <w:vAlign w:val="center"/>
            <w:tcMar>
              <w:top w:w="110" w:type="dxa"/>
              <w:bottom w:w="110" w:type="dxa"/>
              <w:left w:w="130" w:type="dxa"/>
              <w:right w:w="130" w:type="dxa"/>
            </w:tcMar>
            <w:shd w:fill="FFFFFF"/>
          </w:tcPr>
          <w:p>
            <w:r>
              <w:rPr>
                <w:rFonts w:ascii="Arial" w:hAnsi="Arial"/>
                <w:color w:val="2D3748"/>
                <w:sz w:val="17"/>
              </w:rPr>
              <w:t>6 classes: EV Bike, EV Van, Scooter, Van, Bike, Truck.</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delivery_mode</w:t>
            </w:r>
          </w:p>
        </w:tc>
        <w:tc>
          <w:tcPr>
            <w:tcW w:type="dxa" w:w="1440"/>
            <w:vAlign w:val="center"/>
            <w:tcMar>
              <w:top w:w="110" w:type="dxa"/>
              <w:bottom w:w="110" w:type="dxa"/>
              <w:left w:w="130" w:type="dxa"/>
              <w:right w:w="130" w:type="dxa"/>
            </w:tcMar>
            <w:shd w:fill="F7FAFC"/>
          </w:tcPr>
          <w:p>
            <w:r>
              <w:rPr>
                <w:rFonts w:ascii="Arial" w:hAnsi="Arial"/>
                <w:color w:val="2D3748"/>
                <w:sz w:val="17"/>
              </w:rPr>
              <w:t>Categorical</w:t>
            </w:r>
          </w:p>
        </w:tc>
        <w:tc>
          <w:tcPr>
            <w:tcW w:type="dxa" w:w="2592"/>
            <w:vAlign w:val="center"/>
            <w:tcMar>
              <w:top w:w="110" w:type="dxa"/>
              <w:bottom w:w="110" w:type="dxa"/>
              <w:left w:w="130" w:type="dxa"/>
              <w:right w:w="130" w:type="dxa"/>
            </w:tcMar>
            <w:shd w:fill="F7FAFC"/>
          </w:tcPr>
          <w:p>
            <w:r>
              <w:rPr>
                <w:rFonts w:ascii="Arial" w:hAnsi="Arial"/>
                <w:color w:val="2D3748"/>
                <w:sz w:val="17"/>
              </w:rPr>
              <w:t>Contractual SLA Tier</w:t>
            </w:r>
          </w:p>
        </w:tc>
        <w:tc>
          <w:tcPr>
            <w:tcW w:type="dxa" w:w="3168"/>
            <w:vAlign w:val="center"/>
            <w:tcMar>
              <w:top w:w="110" w:type="dxa"/>
              <w:bottom w:w="110" w:type="dxa"/>
              <w:left w:w="130" w:type="dxa"/>
              <w:right w:w="130" w:type="dxa"/>
            </w:tcMar>
            <w:shd w:fill="F7FAFC"/>
          </w:tcPr>
          <w:p>
            <w:r>
              <w:rPr>
                <w:rFonts w:ascii="Arial" w:hAnsi="Arial"/>
                <w:color w:val="2D3748"/>
                <w:sz w:val="17"/>
              </w:rPr>
              <w:t>4 tiers: Same Day, Express, Two Day, Standard.</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region</w:t>
            </w:r>
          </w:p>
        </w:tc>
        <w:tc>
          <w:tcPr>
            <w:tcW w:type="dxa" w:w="1440"/>
            <w:vAlign w:val="center"/>
            <w:tcMar>
              <w:top w:w="110" w:type="dxa"/>
              <w:bottom w:w="110" w:type="dxa"/>
              <w:left w:w="130" w:type="dxa"/>
              <w:right w:w="130" w:type="dxa"/>
            </w:tcMar>
            <w:shd w:fill="FFFFFF"/>
          </w:tcPr>
          <w:p>
            <w:r>
              <w:rPr>
                <w:rFonts w:ascii="Arial" w:hAnsi="Arial"/>
                <w:color w:val="2D3748"/>
                <w:sz w:val="17"/>
              </w:rPr>
              <w:t>Categorical</w:t>
            </w:r>
          </w:p>
        </w:tc>
        <w:tc>
          <w:tcPr>
            <w:tcW w:type="dxa" w:w="2592"/>
            <w:vAlign w:val="center"/>
            <w:tcMar>
              <w:top w:w="110" w:type="dxa"/>
              <w:bottom w:w="110" w:type="dxa"/>
              <w:left w:w="130" w:type="dxa"/>
              <w:right w:w="130" w:type="dxa"/>
            </w:tcMar>
            <w:shd w:fill="FFFFFF"/>
          </w:tcPr>
          <w:p>
            <w:r>
              <w:rPr>
                <w:rFonts w:ascii="Arial" w:hAnsi="Arial"/>
                <w:color w:val="2D3748"/>
                <w:sz w:val="17"/>
              </w:rPr>
              <w:t>Indian Economic Zone</w:t>
            </w:r>
          </w:p>
        </w:tc>
        <w:tc>
          <w:tcPr>
            <w:tcW w:type="dxa" w:w="3168"/>
            <w:vAlign w:val="center"/>
            <w:tcMar>
              <w:top w:w="110" w:type="dxa"/>
              <w:bottom w:w="110" w:type="dxa"/>
              <w:left w:w="130" w:type="dxa"/>
              <w:right w:w="130" w:type="dxa"/>
            </w:tcMar>
            <w:shd w:fill="FFFFFF"/>
          </w:tcPr>
          <w:p>
            <w:r>
              <w:rPr>
                <w:rFonts w:ascii="Arial" w:hAnsi="Arial"/>
                <w:color w:val="2D3748"/>
                <w:sz w:val="17"/>
              </w:rPr>
              <w:t>5 zones: West (20.4%), Central (20.2%), South, North, East.</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weather_condition</w:t>
            </w:r>
          </w:p>
        </w:tc>
        <w:tc>
          <w:tcPr>
            <w:tcW w:type="dxa" w:w="1440"/>
            <w:vAlign w:val="center"/>
            <w:tcMar>
              <w:top w:w="110" w:type="dxa"/>
              <w:bottom w:w="110" w:type="dxa"/>
              <w:left w:w="130" w:type="dxa"/>
              <w:right w:w="130" w:type="dxa"/>
            </w:tcMar>
            <w:shd w:fill="F7FAFC"/>
          </w:tcPr>
          <w:p>
            <w:r>
              <w:rPr>
                <w:rFonts w:ascii="Arial" w:hAnsi="Arial"/>
                <w:color w:val="2D3748"/>
                <w:sz w:val="17"/>
              </w:rPr>
              <w:t>Categorical</w:t>
            </w:r>
          </w:p>
        </w:tc>
        <w:tc>
          <w:tcPr>
            <w:tcW w:type="dxa" w:w="2592"/>
            <w:vAlign w:val="center"/>
            <w:tcMar>
              <w:top w:w="110" w:type="dxa"/>
              <w:bottom w:w="110" w:type="dxa"/>
              <w:left w:w="130" w:type="dxa"/>
              <w:right w:w="130" w:type="dxa"/>
            </w:tcMar>
            <w:shd w:fill="F7FAFC"/>
          </w:tcPr>
          <w:p>
            <w:r>
              <w:rPr>
                <w:rFonts w:ascii="Arial" w:hAnsi="Arial"/>
                <w:color w:val="2D3748"/>
                <w:sz w:val="17"/>
              </w:rPr>
              <w:t>Meteorological Shock</w:t>
            </w:r>
          </w:p>
        </w:tc>
        <w:tc>
          <w:tcPr>
            <w:tcW w:type="dxa" w:w="3168"/>
            <w:vAlign w:val="center"/>
            <w:tcMar>
              <w:top w:w="110" w:type="dxa"/>
              <w:bottom w:w="110" w:type="dxa"/>
              <w:left w:w="130" w:type="dxa"/>
              <w:right w:w="130" w:type="dxa"/>
            </w:tcMar>
            <w:shd w:fill="F7FAFC"/>
          </w:tcPr>
          <w:p>
            <w:r>
              <w:rPr>
                <w:rFonts w:ascii="Arial" w:hAnsi="Arial"/>
                <w:color w:val="2D3748"/>
                <w:sz w:val="17"/>
              </w:rPr>
              <w:t>6 conditions: Clear, Cold, Hot, Rainy, Foggy, Stormy.</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distance_km</w:t>
            </w:r>
          </w:p>
        </w:tc>
        <w:tc>
          <w:tcPr>
            <w:tcW w:type="dxa" w:w="1440"/>
            <w:vAlign w:val="center"/>
            <w:tcMar>
              <w:top w:w="110" w:type="dxa"/>
              <w:bottom w:w="110" w:type="dxa"/>
              <w:left w:w="130" w:type="dxa"/>
              <w:right w:w="130" w:type="dxa"/>
            </w:tcMar>
            <w:shd w:fill="FFFFFF"/>
          </w:tcPr>
          <w:p>
            <w:r>
              <w:rPr>
                <w:rFonts w:ascii="Arial" w:hAnsi="Arial"/>
                <w:color w:val="2D3748"/>
                <w:sz w:val="17"/>
              </w:rPr>
              <w:t>Continuous</w:t>
            </w:r>
          </w:p>
        </w:tc>
        <w:tc>
          <w:tcPr>
            <w:tcW w:type="dxa" w:w="2592"/>
            <w:vAlign w:val="center"/>
            <w:tcMar>
              <w:top w:w="110" w:type="dxa"/>
              <w:bottom w:w="110" w:type="dxa"/>
              <w:left w:w="130" w:type="dxa"/>
              <w:right w:w="130" w:type="dxa"/>
            </w:tcMar>
            <w:shd w:fill="FFFFFF"/>
          </w:tcPr>
          <w:p>
            <w:r>
              <w:rPr>
                <w:rFonts w:ascii="Arial" w:hAnsi="Arial"/>
                <w:color w:val="2D3748"/>
                <w:sz w:val="17"/>
              </w:rPr>
              <w:t>Transit Haul Distance</w:t>
            </w:r>
          </w:p>
        </w:tc>
        <w:tc>
          <w:tcPr>
            <w:tcW w:type="dxa" w:w="3168"/>
            <w:vAlign w:val="center"/>
            <w:tcMar>
              <w:top w:w="110" w:type="dxa"/>
              <w:bottom w:w="110" w:type="dxa"/>
              <w:left w:w="130" w:type="dxa"/>
              <w:right w:w="130" w:type="dxa"/>
            </w:tcMar>
            <w:shd w:fill="FFFFFF"/>
          </w:tcPr>
          <w:p>
            <w:r>
              <w:rPr>
                <w:rFonts w:ascii="Arial" w:hAnsi="Arial"/>
                <w:color w:val="2D3748"/>
                <w:sz w:val="17"/>
              </w:rPr>
              <w:t>Range: 3.6 to 297.1 km (Mean: 150.39 km, Median: 151.00 km).</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package_weight_kg</w:t>
            </w:r>
          </w:p>
        </w:tc>
        <w:tc>
          <w:tcPr>
            <w:tcW w:type="dxa" w:w="1440"/>
            <w:vAlign w:val="center"/>
            <w:tcMar>
              <w:top w:w="110" w:type="dxa"/>
              <w:bottom w:w="110" w:type="dxa"/>
              <w:left w:w="130" w:type="dxa"/>
              <w:right w:w="130" w:type="dxa"/>
            </w:tcMar>
            <w:shd w:fill="F7FAFC"/>
          </w:tcPr>
          <w:p>
            <w:r>
              <w:rPr>
                <w:rFonts w:ascii="Arial" w:hAnsi="Arial"/>
                <w:color w:val="2D3748"/>
                <w:sz w:val="17"/>
              </w:rPr>
              <w:t>Continuous</w:t>
            </w:r>
          </w:p>
        </w:tc>
        <w:tc>
          <w:tcPr>
            <w:tcW w:type="dxa" w:w="2592"/>
            <w:vAlign w:val="center"/>
            <w:tcMar>
              <w:top w:w="110" w:type="dxa"/>
              <w:bottom w:w="110" w:type="dxa"/>
              <w:left w:w="130" w:type="dxa"/>
              <w:right w:w="130" w:type="dxa"/>
            </w:tcMar>
            <w:shd w:fill="F7FAFC"/>
          </w:tcPr>
          <w:p>
            <w:r>
              <w:rPr>
                <w:rFonts w:ascii="Arial" w:hAnsi="Arial"/>
                <w:color w:val="2D3748"/>
                <w:sz w:val="17"/>
              </w:rPr>
              <w:t>Consignment Payload</w:t>
            </w:r>
          </w:p>
        </w:tc>
        <w:tc>
          <w:tcPr>
            <w:tcW w:type="dxa" w:w="3168"/>
            <w:vAlign w:val="center"/>
            <w:tcMar>
              <w:top w:w="110" w:type="dxa"/>
              <w:bottom w:w="110" w:type="dxa"/>
              <w:left w:w="130" w:type="dxa"/>
              <w:right w:w="130" w:type="dxa"/>
            </w:tcMar>
            <w:shd w:fill="F7FAFC"/>
          </w:tcPr>
          <w:p>
            <w:r>
              <w:rPr>
                <w:rFonts w:ascii="Arial" w:hAnsi="Arial"/>
                <w:color w:val="2D3748"/>
                <w:sz w:val="17"/>
              </w:rPr>
              <w:t>Range: 0.67 to 49.52 kg (Mean: 25.15 kg, Median: 25.15 kg).</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delivery_cost</w:t>
            </w:r>
          </w:p>
        </w:tc>
        <w:tc>
          <w:tcPr>
            <w:tcW w:type="dxa" w:w="1440"/>
            <w:vAlign w:val="center"/>
            <w:tcMar>
              <w:top w:w="110" w:type="dxa"/>
              <w:bottom w:w="110" w:type="dxa"/>
              <w:left w:w="130" w:type="dxa"/>
              <w:right w:w="130" w:type="dxa"/>
            </w:tcMar>
            <w:shd w:fill="FFFFFF"/>
          </w:tcPr>
          <w:p>
            <w:r>
              <w:rPr>
                <w:rFonts w:ascii="Arial" w:hAnsi="Arial"/>
                <w:color w:val="2D3748"/>
                <w:sz w:val="17"/>
              </w:rPr>
              <w:t>Continuous</w:t>
            </w:r>
          </w:p>
        </w:tc>
        <w:tc>
          <w:tcPr>
            <w:tcW w:type="dxa" w:w="2592"/>
            <w:vAlign w:val="center"/>
            <w:tcMar>
              <w:top w:w="110" w:type="dxa"/>
              <w:bottom w:w="110" w:type="dxa"/>
              <w:left w:w="130" w:type="dxa"/>
              <w:right w:w="130" w:type="dxa"/>
            </w:tcMar>
            <w:shd w:fill="FFFFFF"/>
          </w:tcPr>
          <w:p>
            <w:r>
              <w:rPr>
                <w:rFonts w:ascii="Arial" w:hAnsi="Arial"/>
                <w:color w:val="2D3748"/>
                <w:sz w:val="17"/>
              </w:rPr>
              <w:t>Incurred Freight Cost</w:t>
            </w:r>
          </w:p>
        </w:tc>
        <w:tc>
          <w:tcPr>
            <w:tcW w:type="dxa" w:w="3168"/>
            <w:vAlign w:val="center"/>
            <w:tcMar>
              <w:top w:w="110" w:type="dxa"/>
              <w:bottom w:w="110" w:type="dxa"/>
              <w:left w:w="130" w:type="dxa"/>
              <w:right w:w="130" w:type="dxa"/>
            </w:tcMar>
            <w:shd w:fill="FFFFFF"/>
          </w:tcPr>
          <w:p>
            <w:r>
              <w:rPr>
                <w:rFonts w:ascii="Arial" w:hAnsi="Arial"/>
                <w:color w:val="2D3748"/>
                <w:sz w:val="17"/>
              </w:rPr>
              <w:t>Range: ₹95.67 to ₹1,632.72 (Mean: ₹864.94, Median: ₹867.54).</w:t>
            </w:r>
          </w:p>
        </w:tc>
      </w:tr>
    </w:tbl>
    <w:p>
      <w:pPr>
        <w:spacing w:after="120"/>
      </w:pPr>
    </w:p>
    <w:p>
      <w:pPr>
        <w:pStyle w:val="Heading1"/>
      </w:pPr>
      <w:r>
        <w:rPr>
          <w:b/>
          <w:color w:val="1A365D"/>
        </w:rPr>
        <w:t>3. Exploratory Data Analysis: Central Tendency, Dispersion &amp; Correlation</w:t>
      </w:r>
    </w:p>
    <w:p>
      <w:r>
        <w:t>A rigorous statistical profile was established across all continuous logistics features. Measures of central tendency (Mean, Median, Mode, 5% Trimmed Mean), dispersion (Standard Deviation, Variance, Interquartile Range, Min, Max), and distribution shape (Skewness, Kurtosis) were calculated to understand parametric behavior.</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rPr>
          <w:cantSplit/>
          <w:tblHeader/>
        </w:trPr>
        <w:tc>
          <w:tcPr>
            <w:tcW w:type="dxa" w:w="2160"/>
            <w:vAlign w:val="center"/>
            <w:tcMar>
              <w:top w:w="110" w:type="dxa"/>
              <w:bottom w:w="110" w:type="dxa"/>
              <w:left w:w="130" w:type="dxa"/>
              <w:right w:w="130" w:type="dxa"/>
            </w:tcMar>
            <w:shd w:fill="1A365D"/>
          </w:tcPr>
          <w:p>
            <w:pPr>
              <w:jc w:val="left"/>
            </w:pPr>
            <w:r>
              <w:rPr>
                <w:rFonts w:ascii="Arial" w:hAnsi="Arial"/>
                <w:b/>
                <w:color w:val="FFFFFF"/>
                <w:sz w:val="18"/>
              </w:rPr>
              <w:t>Metric</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Mean</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Median</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Mode</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Trim 5%</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Std Dev</w:t>
            </w:r>
          </w:p>
        </w:tc>
        <w:tc>
          <w:tcPr>
            <w:tcW w:type="dxa" w:w="864"/>
            <w:vAlign w:val="center"/>
            <w:tcMar>
              <w:top w:w="110" w:type="dxa"/>
              <w:bottom w:w="110" w:type="dxa"/>
              <w:left w:w="130" w:type="dxa"/>
              <w:right w:w="130" w:type="dxa"/>
            </w:tcMar>
            <w:shd w:fill="1A365D"/>
          </w:tcPr>
          <w:p>
            <w:pPr>
              <w:jc w:val="left"/>
            </w:pPr>
            <w:r>
              <w:rPr>
                <w:rFonts w:ascii="Arial" w:hAnsi="Arial"/>
                <w:b/>
                <w:color w:val="FFFFFF"/>
                <w:sz w:val="18"/>
              </w:rPr>
              <w:t>IQR</w:t>
            </w:r>
          </w:p>
        </w:tc>
        <w:tc>
          <w:tcPr>
            <w:tcW w:type="dxa" w:w="1296"/>
            <w:vAlign w:val="center"/>
            <w:tcMar>
              <w:top w:w="110" w:type="dxa"/>
              <w:bottom w:w="110" w:type="dxa"/>
              <w:left w:w="130" w:type="dxa"/>
              <w:right w:w="130" w:type="dxa"/>
            </w:tcMar>
            <w:shd w:fill="1A365D"/>
          </w:tcPr>
          <w:p>
            <w:pPr>
              <w:jc w:val="left"/>
            </w:pPr>
            <w:r>
              <w:rPr>
                <w:rFonts w:ascii="Arial" w:hAnsi="Arial"/>
                <w:b/>
                <w:color w:val="FFFFFF"/>
                <w:sz w:val="18"/>
              </w:rPr>
              <w:t>Min-Max</w:t>
            </w:r>
          </w:p>
        </w:tc>
        <w:tc>
          <w:tcPr>
            <w:tcW w:type="dxa" w:w="720"/>
            <w:vAlign w:val="center"/>
            <w:tcMar>
              <w:top w:w="110" w:type="dxa"/>
              <w:bottom w:w="110" w:type="dxa"/>
              <w:left w:w="130" w:type="dxa"/>
              <w:right w:w="130" w:type="dxa"/>
            </w:tcMar>
            <w:shd w:fill="1A365D"/>
          </w:tcPr>
          <w:p>
            <w:pPr>
              <w:jc w:val="left"/>
            </w:pPr>
            <w:r>
              <w:rPr>
                <w:rFonts w:ascii="Arial" w:hAnsi="Arial"/>
                <w:b/>
                <w:color w:val="FFFFFF"/>
                <w:sz w:val="18"/>
              </w:rPr>
              <w:t>Skew</w:t>
            </w:r>
          </w:p>
        </w:tc>
        <w:tc>
          <w:tcPr>
            <w:tcW w:type="dxa" w:w="720"/>
            <w:vAlign w:val="center"/>
            <w:tcMar>
              <w:top w:w="110" w:type="dxa"/>
              <w:bottom w:w="110" w:type="dxa"/>
              <w:left w:w="130" w:type="dxa"/>
              <w:right w:w="130" w:type="dxa"/>
            </w:tcMar>
            <w:shd w:fill="1A365D"/>
          </w:tcPr>
          <w:p>
            <w:pPr>
              <w:jc w:val="left"/>
            </w:pPr>
            <w:r>
              <w:rPr>
                <w:rFonts w:ascii="Arial" w:hAnsi="Arial"/>
                <w:b/>
                <w:color w:val="FFFFFF"/>
                <w:sz w:val="18"/>
              </w:rPr>
              <w:t>Kurt</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distance_km</w:t>
            </w:r>
          </w:p>
        </w:tc>
        <w:tc>
          <w:tcPr>
            <w:tcW w:type="dxa" w:w="864"/>
            <w:vAlign w:val="center"/>
            <w:tcMar>
              <w:top w:w="110" w:type="dxa"/>
              <w:bottom w:w="110" w:type="dxa"/>
              <w:left w:w="130" w:type="dxa"/>
              <w:right w:w="130" w:type="dxa"/>
            </w:tcMar>
            <w:shd w:fill="F7FAFC"/>
          </w:tcPr>
          <w:p>
            <w:r>
              <w:rPr>
                <w:rFonts w:ascii="Arial" w:hAnsi="Arial"/>
                <w:color w:val="2D3748"/>
                <w:sz w:val="17"/>
              </w:rPr>
              <w:t>150.39</w:t>
            </w:r>
          </w:p>
        </w:tc>
        <w:tc>
          <w:tcPr>
            <w:tcW w:type="dxa" w:w="864"/>
            <w:vAlign w:val="center"/>
            <w:tcMar>
              <w:top w:w="110" w:type="dxa"/>
              <w:bottom w:w="110" w:type="dxa"/>
              <w:left w:w="130" w:type="dxa"/>
              <w:right w:w="130" w:type="dxa"/>
            </w:tcMar>
            <w:shd w:fill="F7FAFC"/>
          </w:tcPr>
          <w:p>
            <w:r>
              <w:rPr>
                <w:rFonts w:ascii="Arial" w:hAnsi="Arial"/>
                <w:color w:val="2D3748"/>
                <w:sz w:val="17"/>
              </w:rPr>
              <w:t>151.00</w:t>
            </w:r>
          </w:p>
        </w:tc>
        <w:tc>
          <w:tcPr>
            <w:tcW w:type="dxa" w:w="864"/>
            <w:vAlign w:val="center"/>
            <w:tcMar>
              <w:top w:w="110" w:type="dxa"/>
              <w:bottom w:w="110" w:type="dxa"/>
              <w:left w:w="130" w:type="dxa"/>
              <w:right w:w="130" w:type="dxa"/>
            </w:tcMar>
            <w:shd w:fill="F7FAFC"/>
          </w:tcPr>
          <w:p>
            <w:r>
              <w:rPr>
                <w:rFonts w:ascii="Arial" w:hAnsi="Arial"/>
                <w:color w:val="2D3748"/>
                <w:sz w:val="17"/>
              </w:rPr>
              <w:t>297.10</w:t>
            </w:r>
          </w:p>
        </w:tc>
        <w:tc>
          <w:tcPr>
            <w:tcW w:type="dxa" w:w="864"/>
            <w:vAlign w:val="center"/>
            <w:tcMar>
              <w:top w:w="110" w:type="dxa"/>
              <w:bottom w:w="110" w:type="dxa"/>
              <w:left w:w="130" w:type="dxa"/>
              <w:right w:w="130" w:type="dxa"/>
            </w:tcMar>
            <w:shd w:fill="F7FAFC"/>
          </w:tcPr>
          <w:p>
            <w:r>
              <w:rPr>
                <w:rFonts w:ascii="Arial" w:hAnsi="Arial"/>
                <w:color w:val="2D3748"/>
                <w:sz w:val="17"/>
              </w:rPr>
              <w:t>150.39</w:t>
            </w:r>
          </w:p>
        </w:tc>
        <w:tc>
          <w:tcPr>
            <w:tcW w:type="dxa" w:w="864"/>
            <w:vAlign w:val="center"/>
            <w:tcMar>
              <w:top w:w="110" w:type="dxa"/>
              <w:bottom w:w="110" w:type="dxa"/>
              <w:left w:w="130" w:type="dxa"/>
              <w:right w:w="130" w:type="dxa"/>
            </w:tcMar>
            <w:shd w:fill="F7FAFC"/>
          </w:tcPr>
          <w:p>
            <w:r>
              <w:rPr>
                <w:rFonts w:ascii="Arial" w:hAnsi="Arial"/>
                <w:color w:val="2D3748"/>
                <w:sz w:val="17"/>
              </w:rPr>
              <w:t>86.41</w:t>
            </w:r>
          </w:p>
        </w:tc>
        <w:tc>
          <w:tcPr>
            <w:tcW w:type="dxa" w:w="864"/>
            <w:vAlign w:val="center"/>
            <w:tcMar>
              <w:top w:w="110" w:type="dxa"/>
              <w:bottom w:w="110" w:type="dxa"/>
              <w:left w:w="130" w:type="dxa"/>
              <w:right w:w="130" w:type="dxa"/>
            </w:tcMar>
            <w:shd w:fill="F7FAFC"/>
          </w:tcPr>
          <w:p>
            <w:r>
              <w:rPr>
                <w:rFonts w:ascii="Arial" w:hAnsi="Arial"/>
                <w:color w:val="2D3748"/>
                <w:sz w:val="17"/>
              </w:rPr>
              <w:t>149.00</w:t>
            </w:r>
          </w:p>
        </w:tc>
        <w:tc>
          <w:tcPr>
            <w:tcW w:type="dxa" w:w="1296"/>
            <w:vAlign w:val="center"/>
            <w:tcMar>
              <w:top w:w="110" w:type="dxa"/>
              <w:bottom w:w="110" w:type="dxa"/>
              <w:left w:w="130" w:type="dxa"/>
              <w:right w:w="130" w:type="dxa"/>
            </w:tcMar>
            <w:shd w:fill="F7FAFC"/>
          </w:tcPr>
          <w:p>
            <w:r>
              <w:rPr>
                <w:rFonts w:ascii="Arial" w:hAnsi="Arial"/>
                <w:color w:val="2D3748"/>
                <w:sz w:val="17"/>
              </w:rPr>
              <w:t>3.6 - 297.1</w:t>
            </w:r>
          </w:p>
        </w:tc>
        <w:tc>
          <w:tcPr>
            <w:tcW w:type="dxa" w:w="720"/>
            <w:vAlign w:val="center"/>
            <w:tcMar>
              <w:top w:w="110" w:type="dxa"/>
              <w:bottom w:w="110" w:type="dxa"/>
              <w:left w:w="130" w:type="dxa"/>
              <w:right w:w="130" w:type="dxa"/>
            </w:tcMar>
            <w:shd w:fill="F7FAFC"/>
          </w:tcPr>
          <w:p>
            <w:r>
              <w:rPr>
                <w:rFonts w:ascii="Arial" w:hAnsi="Arial"/>
                <w:color w:val="2D3748"/>
                <w:sz w:val="17"/>
              </w:rPr>
              <w:t>0.002</w:t>
            </w:r>
          </w:p>
        </w:tc>
        <w:tc>
          <w:tcPr>
            <w:tcW w:type="dxa" w:w="720"/>
            <w:vAlign w:val="center"/>
            <w:tcMar>
              <w:top w:w="110" w:type="dxa"/>
              <w:bottom w:w="110" w:type="dxa"/>
              <w:left w:w="130" w:type="dxa"/>
              <w:right w:w="130" w:type="dxa"/>
            </w:tcMar>
            <w:shd w:fill="F7FAFC"/>
          </w:tcPr>
          <w:p>
            <w:r>
              <w:rPr>
                <w:rFonts w:ascii="Arial" w:hAnsi="Arial"/>
                <w:color w:val="2D3748"/>
                <w:sz w:val="17"/>
              </w:rPr>
              <w:t>-1.196</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package_weight_kg</w:t>
            </w:r>
          </w:p>
        </w:tc>
        <w:tc>
          <w:tcPr>
            <w:tcW w:type="dxa" w:w="864"/>
            <w:vAlign w:val="center"/>
            <w:tcMar>
              <w:top w:w="110" w:type="dxa"/>
              <w:bottom w:w="110" w:type="dxa"/>
              <w:left w:w="130" w:type="dxa"/>
              <w:right w:w="130" w:type="dxa"/>
            </w:tcMar>
            <w:shd w:fill="FFFFFF"/>
          </w:tcPr>
          <w:p>
            <w:r>
              <w:rPr>
                <w:rFonts w:ascii="Arial" w:hAnsi="Arial"/>
                <w:color w:val="2D3748"/>
                <w:sz w:val="17"/>
              </w:rPr>
              <w:t>25.15</w:t>
            </w:r>
          </w:p>
        </w:tc>
        <w:tc>
          <w:tcPr>
            <w:tcW w:type="dxa" w:w="864"/>
            <w:vAlign w:val="center"/>
            <w:tcMar>
              <w:top w:w="110" w:type="dxa"/>
              <w:bottom w:w="110" w:type="dxa"/>
              <w:left w:w="130" w:type="dxa"/>
              <w:right w:w="130" w:type="dxa"/>
            </w:tcMar>
            <w:shd w:fill="FFFFFF"/>
          </w:tcPr>
          <w:p>
            <w:r>
              <w:rPr>
                <w:rFonts w:ascii="Arial" w:hAnsi="Arial"/>
                <w:color w:val="2D3748"/>
                <w:sz w:val="17"/>
              </w:rPr>
              <w:t>25.15</w:t>
            </w:r>
          </w:p>
        </w:tc>
        <w:tc>
          <w:tcPr>
            <w:tcW w:type="dxa" w:w="864"/>
            <w:vAlign w:val="center"/>
            <w:tcMar>
              <w:top w:w="110" w:type="dxa"/>
              <w:bottom w:w="110" w:type="dxa"/>
              <w:left w:w="130" w:type="dxa"/>
              <w:right w:w="130" w:type="dxa"/>
            </w:tcMar>
            <w:shd w:fill="FFFFFF"/>
          </w:tcPr>
          <w:p>
            <w:r>
              <w:rPr>
                <w:rFonts w:ascii="Arial" w:hAnsi="Arial"/>
                <w:color w:val="2D3748"/>
                <w:sz w:val="17"/>
              </w:rPr>
              <w:t>0.67</w:t>
            </w:r>
          </w:p>
        </w:tc>
        <w:tc>
          <w:tcPr>
            <w:tcW w:type="dxa" w:w="864"/>
            <w:vAlign w:val="center"/>
            <w:tcMar>
              <w:top w:w="110" w:type="dxa"/>
              <w:bottom w:w="110" w:type="dxa"/>
              <w:left w:w="130" w:type="dxa"/>
              <w:right w:w="130" w:type="dxa"/>
            </w:tcMar>
            <w:shd w:fill="FFFFFF"/>
          </w:tcPr>
          <w:p>
            <w:r>
              <w:rPr>
                <w:rFonts w:ascii="Arial" w:hAnsi="Arial"/>
                <w:color w:val="2D3748"/>
                <w:sz w:val="17"/>
              </w:rPr>
              <w:t>25.15</w:t>
            </w:r>
          </w:p>
        </w:tc>
        <w:tc>
          <w:tcPr>
            <w:tcW w:type="dxa" w:w="864"/>
            <w:vAlign w:val="center"/>
            <w:tcMar>
              <w:top w:w="110" w:type="dxa"/>
              <w:bottom w:w="110" w:type="dxa"/>
              <w:left w:w="130" w:type="dxa"/>
              <w:right w:w="130" w:type="dxa"/>
            </w:tcMar>
            <w:shd w:fill="FFFFFF"/>
          </w:tcPr>
          <w:p>
            <w:r>
              <w:rPr>
                <w:rFonts w:ascii="Arial" w:hAnsi="Arial"/>
                <w:color w:val="2D3748"/>
                <w:sz w:val="17"/>
              </w:rPr>
              <w:t>14.37</w:t>
            </w:r>
          </w:p>
        </w:tc>
        <w:tc>
          <w:tcPr>
            <w:tcW w:type="dxa" w:w="864"/>
            <w:vAlign w:val="center"/>
            <w:tcMar>
              <w:top w:w="110" w:type="dxa"/>
              <w:bottom w:w="110" w:type="dxa"/>
              <w:left w:w="130" w:type="dxa"/>
              <w:right w:w="130" w:type="dxa"/>
            </w:tcMar>
            <w:shd w:fill="FFFFFF"/>
          </w:tcPr>
          <w:p>
            <w:r>
              <w:rPr>
                <w:rFonts w:ascii="Arial" w:hAnsi="Arial"/>
                <w:color w:val="2D3748"/>
                <w:sz w:val="17"/>
              </w:rPr>
              <w:t>24.98</w:t>
            </w:r>
          </w:p>
        </w:tc>
        <w:tc>
          <w:tcPr>
            <w:tcW w:type="dxa" w:w="1296"/>
            <w:vAlign w:val="center"/>
            <w:tcMar>
              <w:top w:w="110" w:type="dxa"/>
              <w:bottom w:w="110" w:type="dxa"/>
              <w:left w:w="130" w:type="dxa"/>
              <w:right w:w="130" w:type="dxa"/>
            </w:tcMar>
            <w:shd w:fill="FFFFFF"/>
          </w:tcPr>
          <w:p>
            <w:r>
              <w:rPr>
                <w:rFonts w:ascii="Arial" w:hAnsi="Arial"/>
                <w:color w:val="2D3748"/>
                <w:sz w:val="17"/>
              </w:rPr>
              <w:t>0.67 - 49.52</w:t>
            </w:r>
          </w:p>
        </w:tc>
        <w:tc>
          <w:tcPr>
            <w:tcW w:type="dxa" w:w="720"/>
            <w:vAlign w:val="center"/>
            <w:tcMar>
              <w:top w:w="110" w:type="dxa"/>
              <w:bottom w:w="110" w:type="dxa"/>
              <w:left w:w="130" w:type="dxa"/>
              <w:right w:w="130" w:type="dxa"/>
            </w:tcMar>
            <w:shd w:fill="FFFFFF"/>
          </w:tcPr>
          <w:p>
            <w:r>
              <w:rPr>
                <w:rFonts w:ascii="Arial" w:hAnsi="Arial"/>
                <w:color w:val="2D3748"/>
                <w:sz w:val="17"/>
              </w:rPr>
              <w:t>-0.003</w:t>
            </w:r>
          </w:p>
        </w:tc>
        <w:tc>
          <w:tcPr>
            <w:tcW w:type="dxa" w:w="720"/>
            <w:vAlign w:val="center"/>
            <w:tcMar>
              <w:top w:w="110" w:type="dxa"/>
              <w:bottom w:w="110" w:type="dxa"/>
              <w:left w:w="130" w:type="dxa"/>
              <w:right w:w="130" w:type="dxa"/>
            </w:tcMar>
            <w:shd w:fill="FFFFFF"/>
          </w:tcPr>
          <w:p>
            <w:r>
              <w:rPr>
                <w:rFonts w:ascii="Arial" w:hAnsi="Arial"/>
                <w:color w:val="2D3748"/>
                <w:sz w:val="17"/>
              </w:rPr>
              <w:t>-1.200</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delivery_cost</w:t>
            </w:r>
          </w:p>
        </w:tc>
        <w:tc>
          <w:tcPr>
            <w:tcW w:type="dxa" w:w="864"/>
            <w:vAlign w:val="center"/>
            <w:tcMar>
              <w:top w:w="110" w:type="dxa"/>
              <w:bottom w:w="110" w:type="dxa"/>
              <w:left w:w="130" w:type="dxa"/>
              <w:right w:w="130" w:type="dxa"/>
            </w:tcMar>
            <w:shd w:fill="F7FAFC"/>
          </w:tcPr>
          <w:p>
            <w:r>
              <w:rPr>
                <w:rFonts w:ascii="Arial" w:hAnsi="Arial"/>
                <w:color w:val="2D3748"/>
                <w:sz w:val="17"/>
              </w:rPr>
              <w:t>₹864.94</w:t>
            </w:r>
          </w:p>
        </w:tc>
        <w:tc>
          <w:tcPr>
            <w:tcW w:type="dxa" w:w="864"/>
            <w:vAlign w:val="center"/>
            <w:tcMar>
              <w:top w:w="110" w:type="dxa"/>
              <w:bottom w:w="110" w:type="dxa"/>
              <w:left w:w="130" w:type="dxa"/>
              <w:right w:w="130" w:type="dxa"/>
            </w:tcMar>
            <w:shd w:fill="F7FAFC"/>
          </w:tcPr>
          <w:p>
            <w:r>
              <w:rPr>
                <w:rFonts w:ascii="Arial" w:hAnsi="Arial"/>
                <w:color w:val="2D3748"/>
                <w:sz w:val="17"/>
              </w:rPr>
              <w:t>₹867.54</w:t>
            </w:r>
          </w:p>
        </w:tc>
        <w:tc>
          <w:tcPr>
            <w:tcW w:type="dxa" w:w="864"/>
            <w:vAlign w:val="center"/>
            <w:tcMar>
              <w:top w:w="110" w:type="dxa"/>
              <w:bottom w:w="110" w:type="dxa"/>
              <w:left w:w="130" w:type="dxa"/>
              <w:right w:w="130" w:type="dxa"/>
            </w:tcMar>
            <w:shd w:fill="F7FAFC"/>
          </w:tcPr>
          <w:p>
            <w:r>
              <w:rPr>
                <w:rFonts w:ascii="Arial" w:hAnsi="Arial"/>
                <w:color w:val="2D3748"/>
                <w:sz w:val="17"/>
              </w:rPr>
              <w:t>₹95.67</w:t>
            </w:r>
          </w:p>
        </w:tc>
        <w:tc>
          <w:tcPr>
            <w:tcW w:type="dxa" w:w="864"/>
            <w:vAlign w:val="center"/>
            <w:tcMar>
              <w:top w:w="110" w:type="dxa"/>
              <w:bottom w:w="110" w:type="dxa"/>
              <w:left w:w="130" w:type="dxa"/>
              <w:right w:w="130" w:type="dxa"/>
            </w:tcMar>
            <w:shd w:fill="F7FAFC"/>
          </w:tcPr>
          <w:p>
            <w:r>
              <w:rPr>
                <w:rFonts w:ascii="Arial" w:hAnsi="Arial"/>
                <w:color w:val="2D3748"/>
                <w:sz w:val="17"/>
              </w:rPr>
              <w:t>₹864.92</w:t>
            </w:r>
          </w:p>
        </w:tc>
        <w:tc>
          <w:tcPr>
            <w:tcW w:type="dxa" w:w="864"/>
            <w:vAlign w:val="center"/>
            <w:tcMar>
              <w:top w:w="110" w:type="dxa"/>
              <w:bottom w:w="110" w:type="dxa"/>
              <w:left w:w="130" w:type="dxa"/>
              <w:right w:w="130" w:type="dxa"/>
            </w:tcMar>
            <w:shd w:fill="F7FAFC"/>
          </w:tcPr>
          <w:p>
            <w:r>
              <w:rPr>
                <w:rFonts w:ascii="Arial" w:hAnsi="Arial"/>
                <w:color w:val="2D3748"/>
                <w:sz w:val="17"/>
              </w:rPr>
              <w:t>₹435.71</w:t>
            </w:r>
          </w:p>
        </w:tc>
        <w:tc>
          <w:tcPr>
            <w:tcW w:type="dxa" w:w="864"/>
            <w:vAlign w:val="center"/>
            <w:tcMar>
              <w:top w:w="110" w:type="dxa"/>
              <w:bottom w:w="110" w:type="dxa"/>
              <w:left w:w="130" w:type="dxa"/>
              <w:right w:w="130" w:type="dxa"/>
            </w:tcMar>
            <w:shd w:fill="F7FAFC"/>
          </w:tcPr>
          <w:p>
            <w:r>
              <w:rPr>
                <w:rFonts w:ascii="Arial" w:hAnsi="Arial"/>
                <w:color w:val="2D3748"/>
                <w:sz w:val="17"/>
              </w:rPr>
              <w:t>₹747.11</w:t>
            </w:r>
          </w:p>
        </w:tc>
        <w:tc>
          <w:tcPr>
            <w:tcW w:type="dxa" w:w="1296"/>
            <w:vAlign w:val="center"/>
            <w:tcMar>
              <w:top w:w="110" w:type="dxa"/>
              <w:bottom w:w="110" w:type="dxa"/>
              <w:left w:w="130" w:type="dxa"/>
              <w:right w:w="130" w:type="dxa"/>
            </w:tcMar>
            <w:shd w:fill="F7FAFC"/>
          </w:tcPr>
          <w:p>
            <w:r>
              <w:rPr>
                <w:rFonts w:ascii="Arial" w:hAnsi="Arial"/>
                <w:color w:val="2D3748"/>
                <w:sz w:val="17"/>
              </w:rPr>
              <w:t>₹95.7 - ₹1632.7</w:t>
            </w:r>
          </w:p>
        </w:tc>
        <w:tc>
          <w:tcPr>
            <w:tcW w:type="dxa" w:w="720"/>
            <w:vAlign w:val="center"/>
            <w:tcMar>
              <w:top w:w="110" w:type="dxa"/>
              <w:bottom w:w="110" w:type="dxa"/>
              <w:left w:w="130" w:type="dxa"/>
              <w:right w:w="130" w:type="dxa"/>
            </w:tcMar>
            <w:shd w:fill="F7FAFC"/>
          </w:tcPr>
          <w:p>
            <w:r>
              <w:rPr>
                <w:rFonts w:ascii="Arial" w:hAnsi="Arial"/>
                <w:color w:val="2D3748"/>
                <w:sz w:val="17"/>
              </w:rPr>
              <w:t>0.001</w:t>
            </w:r>
          </w:p>
        </w:tc>
        <w:tc>
          <w:tcPr>
            <w:tcW w:type="dxa" w:w="720"/>
            <w:vAlign w:val="center"/>
            <w:tcMar>
              <w:top w:w="110" w:type="dxa"/>
              <w:bottom w:w="110" w:type="dxa"/>
              <w:left w:w="130" w:type="dxa"/>
              <w:right w:w="130" w:type="dxa"/>
            </w:tcMar>
            <w:shd w:fill="F7FAFC"/>
          </w:tcPr>
          <w:p>
            <w:r>
              <w:rPr>
                <w:rFonts w:ascii="Arial" w:hAnsi="Arial"/>
                <w:color w:val="2D3748"/>
                <w:sz w:val="17"/>
              </w:rPr>
              <w:t>-1.172</w:t>
            </w:r>
          </w:p>
        </w:tc>
      </w:tr>
      <w:tr>
        <w:trPr>
          <w:cantSplit/>
        </w:trPr>
        <w:tc>
          <w:tcPr>
            <w:tcW w:type="dxa" w:w="2160"/>
            <w:vAlign w:val="center"/>
            <w:tcMar>
              <w:top w:w="110" w:type="dxa"/>
              <w:bottom w:w="110" w:type="dxa"/>
              <w:left w:w="130" w:type="dxa"/>
              <w:right w:w="130" w:type="dxa"/>
            </w:tcMar>
            <w:shd w:fill="FFFFFF"/>
          </w:tcPr>
          <w:p>
            <w:r>
              <w:rPr>
                <w:rFonts w:ascii="Arial" w:hAnsi="Arial"/>
                <w:color w:val="2D3748"/>
                <w:sz w:val="17"/>
              </w:rPr>
              <w:t>cost_per_km</w:t>
            </w:r>
          </w:p>
        </w:tc>
        <w:tc>
          <w:tcPr>
            <w:tcW w:type="dxa" w:w="864"/>
            <w:vAlign w:val="center"/>
            <w:tcMar>
              <w:top w:w="110" w:type="dxa"/>
              <w:bottom w:w="110" w:type="dxa"/>
              <w:left w:w="130" w:type="dxa"/>
              <w:right w:w="130" w:type="dxa"/>
            </w:tcMar>
            <w:shd w:fill="FFFFFF"/>
          </w:tcPr>
          <w:p>
            <w:r>
              <w:rPr>
                <w:rFonts w:ascii="Arial" w:hAnsi="Arial"/>
                <w:color w:val="2D3748"/>
                <w:sz w:val="17"/>
              </w:rPr>
              <w:t>₹7.04</w:t>
            </w:r>
          </w:p>
        </w:tc>
        <w:tc>
          <w:tcPr>
            <w:tcW w:type="dxa" w:w="864"/>
            <w:vAlign w:val="center"/>
            <w:tcMar>
              <w:top w:w="110" w:type="dxa"/>
              <w:bottom w:w="110" w:type="dxa"/>
              <w:left w:w="130" w:type="dxa"/>
              <w:right w:w="130" w:type="dxa"/>
            </w:tcMar>
            <w:shd w:fill="FFFFFF"/>
          </w:tcPr>
          <w:p>
            <w:r>
              <w:rPr>
                <w:rFonts w:ascii="Arial" w:hAnsi="Arial"/>
                <w:color w:val="2D3748"/>
                <w:sz w:val="17"/>
              </w:rPr>
              <w:t>₹5.74</w:t>
            </w:r>
          </w:p>
        </w:tc>
        <w:tc>
          <w:tcPr>
            <w:tcW w:type="dxa" w:w="864"/>
            <w:vAlign w:val="center"/>
            <w:tcMar>
              <w:top w:w="110" w:type="dxa"/>
              <w:bottom w:w="110" w:type="dxa"/>
              <w:left w:w="130" w:type="dxa"/>
              <w:right w:w="130" w:type="dxa"/>
            </w:tcMar>
            <w:shd w:fill="FFFFFF"/>
          </w:tcPr>
          <w:p>
            <w:r>
              <w:rPr>
                <w:rFonts w:ascii="Arial" w:hAnsi="Arial"/>
                <w:color w:val="2D3748"/>
                <w:sz w:val="17"/>
              </w:rPr>
              <w:t>₹26.57</w:t>
            </w:r>
          </w:p>
        </w:tc>
        <w:tc>
          <w:tcPr>
            <w:tcW w:type="dxa" w:w="864"/>
            <w:vAlign w:val="center"/>
            <w:tcMar>
              <w:top w:w="110" w:type="dxa"/>
              <w:bottom w:w="110" w:type="dxa"/>
              <w:left w:w="130" w:type="dxa"/>
              <w:right w:w="130" w:type="dxa"/>
            </w:tcMar>
            <w:shd w:fill="FFFFFF"/>
          </w:tcPr>
          <w:p>
            <w:r>
              <w:rPr>
                <w:rFonts w:ascii="Arial" w:hAnsi="Arial"/>
                <w:color w:val="2D3748"/>
                <w:sz w:val="17"/>
              </w:rPr>
              <w:t>₹6.18</w:t>
            </w:r>
          </w:p>
        </w:tc>
        <w:tc>
          <w:tcPr>
            <w:tcW w:type="dxa" w:w="864"/>
            <w:vAlign w:val="center"/>
            <w:tcMar>
              <w:top w:w="110" w:type="dxa"/>
              <w:bottom w:w="110" w:type="dxa"/>
              <w:left w:w="130" w:type="dxa"/>
              <w:right w:w="130" w:type="dxa"/>
            </w:tcMar>
            <w:shd w:fill="FFFFFF"/>
          </w:tcPr>
          <w:p>
            <w:r>
              <w:rPr>
                <w:rFonts w:ascii="Arial" w:hAnsi="Arial"/>
                <w:color w:val="2D3748"/>
                <w:sz w:val="17"/>
              </w:rPr>
              <w:t>₹5.00</w:t>
            </w:r>
          </w:p>
        </w:tc>
        <w:tc>
          <w:tcPr>
            <w:tcW w:type="dxa" w:w="864"/>
            <w:vAlign w:val="center"/>
            <w:tcMar>
              <w:top w:w="110" w:type="dxa"/>
              <w:bottom w:w="110" w:type="dxa"/>
              <w:left w:w="130" w:type="dxa"/>
              <w:right w:w="130" w:type="dxa"/>
            </w:tcMar>
            <w:shd w:fill="FFFFFF"/>
          </w:tcPr>
          <w:p>
            <w:r>
              <w:rPr>
                <w:rFonts w:ascii="Arial" w:hAnsi="Arial"/>
                <w:color w:val="2D3748"/>
                <w:sz w:val="17"/>
              </w:rPr>
              <w:t>₹1.07</w:t>
            </w:r>
          </w:p>
        </w:tc>
        <w:tc>
          <w:tcPr>
            <w:tcW w:type="dxa" w:w="1296"/>
            <w:vAlign w:val="center"/>
            <w:tcMar>
              <w:top w:w="110" w:type="dxa"/>
              <w:bottom w:w="110" w:type="dxa"/>
              <w:left w:w="130" w:type="dxa"/>
              <w:right w:w="130" w:type="dxa"/>
            </w:tcMar>
            <w:shd w:fill="FFFFFF"/>
          </w:tcPr>
          <w:p>
            <w:r>
              <w:rPr>
                <w:rFonts w:ascii="Arial" w:hAnsi="Arial"/>
                <w:color w:val="2D3748"/>
                <w:sz w:val="17"/>
              </w:rPr>
              <w:t>₹5.0 - ₹73.5</w:t>
            </w:r>
          </w:p>
        </w:tc>
        <w:tc>
          <w:tcPr>
            <w:tcW w:type="dxa" w:w="720"/>
            <w:vAlign w:val="center"/>
            <w:tcMar>
              <w:top w:w="110" w:type="dxa"/>
              <w:bottom w:w="110" w:type="dxa"/>
              <w:left w:w="130" w:type="dxa"/>
              <w:right w:w="130" w:type="dxa"/>
            </w:tcMar>
            <w:shd w:fill="FFFFFF"/>
          </w:tcPr>
          <w:p>
            <w:r>
              <w:rPr>
                <w:rFonts w:ascii="Arial" w:hAnsi="Arial"/>
                <w:color w:val="2D3748"/>
                <w:sz w:val="17"/>
              </w:rPr>
              <w:t>6.383</w:t>
            </w:r>
          </w:p>
        </w:tc>
        <w:tc>
          <w:tcPr>
            <w:tcW w:type="dxa" w:w="720"/>
            <w:vAlign w:val="center"/>
            <w:tcMar>
              <w:top w:w="110" w:type="dxa"/>
              <w:bottom w:w="110" w:type="dxa"/>
              <w:left w:w="130" w:type="dxa"/>
              <w:right w:w="130" w:type="dxa"/>
            </w:tcMar>
            <w:shd w:fill="FFFFFF"/>
          </w:tcPr>
          <w:p>
            <w:r>
              <w:rPr>
                <w:rFonts w:ascii="Arial" w:hAnsi="Arial"/>
                <w:color w:val="2D3748"/>
                <w:sz w:val="17"/>
              </w:rPr>
              <w:t>50.930</w:t>
            </w:r>
          </w:p>
        </w:tc>
      </w:tr>
      <w:tr>
        <w:trPr>
          <w:cantSplit/>
        </w:trPr>
        <w:tc>
          <w:tcPr>
            <w:tcW w:type="dxa" w:w="2160"/>
            <w:vAlign w:val="center"/>
            <w:tcMar>
              <w:top w:w="110" w:type="dxa"/>
              <w:bottom w:w="110" w:type="dxa"/>
              <w:left w:w="130" w:type="dxa"/>
              <w:right w:w="130" w:type="dxa"/>
            </w:tcMar>
            <w:shd w:fill="F7FAFC"/>
          </w:tcPr>
          <w:p>
            <w:r>
              <w:rPr>
                <w:rFonts w:ascii="Arial" w:hAnsi="Arial"/>
                <w:color w:val="2D3748"/>
                <w:sz w:val="17"/>
              </w:rPr>
              <w:t>delivery_rating</w:t>
            </w:r>
          </w:p>
        </w:tc>
        <w:tc>
          <w:tcPr>
            <w:tcW w:type="dxa" w:w="864"/>
            <w:vAlign w:val="center"/>
            <w:tcMar>
              <w:top w:w="110" w:type="dxa"/>
              <w:bottom w:w="110" w:type="dxa"/>
              <w:left w:w="130" w:type="dxa"/>
              <w:right w:w="130" w:type="dxa"/>
            </w:tcMar>
            <w:shd w:fill="F7FAFC"/>
          </w:tcPr>
          <w:p>
            <w:r>
              <w:rPr>
                <w:rFonts w:ascii="Arial" w:hAnsi="Arial"/>
                <w:color w:val="2D3748"/>
                <w:sz w:val="17"/>
              </w:rPr>
              <w:t>3.67 ★</w:t>
            </w:r>
          </w:p>
        </w:tc>
        <w:tc>
          <w:tcPr>
            <w:tcW w:type="dxa" w:w="864"/>
            <w:vAlign w:val="center"/>
            <w:tcMar>
              <w:top w:w="110" w:type="dxa"/>
              <w:bottom w:w="110" w:type="dxa"/>
              <w:left w:w="130" w:type="dxa"/>
              <w:right w:w="130" w:type="dxa"/>
            </w:tcMar>
            <w:shd w:fill="F7FAFC"/>
          </w:tcPr>
          <w:p>
            <w:r>
              <w:rPr>
                <w:rFonts w:ascii="Arial" w:hAnsi="Arial"/>
                <w:color w:val="2D3748"/>
                <w:sz w:val="17"/>
              </w:rPr>
              <w:t>4.00 ★</w:t>
            </w:r>
          </w:p>
        </w:tc>
        <w:tc>
          <w:tcPr>
            <w:tcW w:type="dxa" w:w="864"/>
            <w:vAlign w:val="center"/>
            <w:tcMar>
              <w:top w:w="110" w:type="dxa"/>
              <w:bottom w:w="110" w:type="dxa"/>
              <w:left w:w="130" w:type="dxa"/>
              <w:right w:w="130" w:type="dxa"/>
            </w:tcMar>
            <w:shd w:fill="F7FAFC"/>
          </w:tcPr>
          <w:p>
            <w:r>
              <w:rPr>
                <w:rFonts w:ascii="Arial" w:hAnsi="Arial"/>
                <w:color w:val="2D3748"/>
                <w:sz w:val="17"/>
              </w:rPr>
              <w:t>5.00 ★</w:t>
            </w:r>
          </w:p>
        </w:tc>
        <w:tc>
          <w:tcPr>
            <w:tcW w:type="dxa" w:w="864"/>
            <w:vAlign w:val="center"/>
            <w:tcMar>
              <w:top w:w="110" w:type="dxa"/>
              <w:bottom w:w="110" w:type="dxa"/>
              <w:left w:w="130" w:type="dxa"/>
              <w:right w:w="130" w:type="dxa"/>
            </w:tcMar>
            <w:shd w:fill="F7FAFC"/>
          </w:tcPr>
          <w:p>
            <w:r>
              <w:rPr>
                <w:rFonts w:ascii="Arial" w:hAnsi="Arial"/>
                <w:color w:val="2D3748"/>
                <w:sz w:val="17"/>
              </w:rPr>
              <w:t>3.73 ★</w:t>
            </w:r>
          </w:p>
        </w:tc>
        <w:tc>
          <w:tcPr>
            <w:tcW w:type="dxa" w:w="864"/>
            <w:vAlign w:val="center"/>
            <w:tcMar>
              <w:top w:w="110" w:type="dxa"/>
              <w:bottom w:w="110" w:type="dxa"/>
              <w:left w:w="130" w:type="dxa"/>
              <w:right w:w="130" w:type="dxa"/>
            </w:tcMar>
            <w:shd w:fill="F7FAFC"/>
          </w:tcPr>
          <w:p>
            <w:r>
              <w:rPr>
                <w:rFonts w:ascii="Arial" w:hAnsi="Arial"/>
                <w:color w:val="2D3748"/>
                <w:sz w:val="17"/>
              </w:rPr>
              <w:t>1.15</w:t>
            </w:r>
          </w:p>
        </w:tc>
        <w:tc>
          <w:tcPr>
            <w:tcW w:type="dxa" w:w="864"/>
            <w:vAlign w:val="center"/>
            <w:tcMar>
              <w:top w:w="110" w:type="dxa"/>
              <w:bottom w:w="110" w:type="dxa"/>
              <w:left w:w="130" w:type="dxa"/>
              <w:right w:w="130" w:type="dxa"/>
            </w:tcMar>
            <w:shd w:fill="F7FAFC"/>
          </w:tcPr>
          <w:p>
            <w:r>
              <w:rPr>
                <w:rFonts w:ascii="Arial" w:hAnsi="Arial"/>
                <w:color w:val="2D3748"/>
                <w:sz w:val="17"/>
              </w:rPr>
              <w:t>2.00</w:t>
            </w:r>
          </w:p>
        </w:tc>
        <w:tc>
          <w:tcPr>
            <w:tcW w:type="dxa" w:w="1296"/>
            <w:vAlign w:val="center"/>
            <w:tcMar>
              <w:top w:w="110" w:type="dxa"/>
              <w:bottom w:w="110" w:type="dxa"/>
              <w:left w:w="130" w:type="dxa"/>
              <w:right w:w="130" w:type="dxa"/>
            </w:tcMar>
            <w:shd w:fill="F7FAFC"/>
          </w:tcPr>
          <w:p>
            <w:r>
              <w:rPr>
                <w:rFonts w:ascii="Arial" w:hAnsi="Arial"/>
                <w:color w:val="2D3748"/>
                <w:sz w:val="17"/>
              </w:rPr>
              <w:t>1.0 - 5.0 ★</w:t>
            </w:r>
          </w:p>
        </w:tc>
        <w:tc>
          <w:tcPr>
            <w:tcW w:type="dxa" w:w="720"/>
            <w:vAlign w:val="center"/>
            <w:tcMar>
              <w:top w:w="110" w:type="dxa"/>
              <w:bottom w:w="110" w:type="dxa"/>
              <w:left w:w="130" w:type="dxa"/>
              <w:right w:w="130" w:type="dxa"/>
            </w:tcMar>
            <w:shd w:fill="F7FAFC"/>
          </w:tcPr>
          <w:p>
            <w:r>
              <w:rPr>
                <w:rFonts w:ascii="Arial" w:hAnsi="Arial"/>
                <w:color w:val="2D3748"/>
                <w:sz w:val="17"/>
              </w:rPr>
              <w:t>-0.473</w:t>
            </w:r>
          </w:p>
        </w:tc>
        <w:tc>
          <w:tcPr>
            <w:tcW w:type="dxa" w:w="720"/>
            <w:vAlign w:val="center"/>
            <w:tcMar>
              <w:top w:w="110" w:type="dxa"/>
              <w:bottom w:w="110" w:type="dxa"/>
              <w:left w:w="130" w:type="dxa"/>
              <w:right w:w="130" w:type="dxa"/>
            </w:tcMar>
            <w:shd w:fill="F7FAFC"/>
          </w:tcPr>
          <w:p>
            <w:r>
              <w:rPr>
                <w:rFonts w:ascii="Arial" w:hAnsi="Arial"/>
                <w:color w:val="2D3748"/>
                <w:sz w:val="17"/>
              </w:rPr>
              <w:t>-0.739</w:t>
            </w:r>
          </w:p>
        </w:tc>
      </w:tr>
    </w:tbl>
    <w:p>
      <w:pPr>
        <w:spacing w:after="80"/>
      </w:pPr>
    </w:p>
    <w:p>
      <w:r>
        <w:t>Key Statistical Insights:</w:t>
        <w:br/>
        <w:t>1. Uniform Spatial &amp; Weight Dispersion: Distance and package weight exhibit near-zero skewness (0.002 and -0.003) and negative kurtosis (-1.20), confirming broad, uniform coverage across all mileage corridors and parcel dimensions.</w:t>
        <w:br/>
        <w:t>2. Highly Skewed Unit Cost per Kilometer: Cost per KM exhibits extreme positive skewness (6.383) and high kurtosis (50.93). While the median unit cost is ₹5.74/km, ultra-short haul deliveries (&lt; 10 km) carry higher fixed base pricing, elevating average cost per km to ₹7.04/km.</w:t>
        <w:br/>
        <w:t>3. Correlation Matrix Findings: Delivery cost is almost perfectly linearly correlated with transit distance (r = 0.991, p &lt; 0.001). Conversely, package weight exhibits near-zero correlation with cost (r = 0.002), indicating that distance-based line-haul tariffs dominate pricing models.</w:t>
      </w:r>
    </w:p>
    <w:p>
      <w:pPr>
        <w:pStyle w:val="Heading1"/>
      </w:pPr>
      <w:r>
        <w:rPr>
          <w:b/>
          <w:color w:val="1A365D"/>
        </w:rPr>
        <w:t>4. Advanced Visualizations &amp; Methodological Justifications</w:t>
      </w:r>
    </w:p>
    <w:p>
      <w:r>
        <w:t>Nine specialized visual models were constructed using Matplotlib and Seaborn. In accordance with the project guidelines, each visualization is paired with an explicit methodological justification defending why that specific chart architecture is optimal for interpreting the underlying logistics dynamic.</w:t>
      </w:r>
    </w:p>
    <w:p>
      <w:pPr>
        <w:pStyle w:val="Heading2"/>
      </w:pPr>
      <w:r>
        <w:t>Figure 1: Univariate Distributions &amp; Skewness of Key Logistics Metrics</w:t>
      </w:r>
    </w:p>
    <w:p>
      <w:r>
        <w:t>• Methodological Justification: Simple summary tables obscure multimodality and outlier tails. By coupling a continuous Kernel Density Estimation (KDE) curve with a 35-bin frequency histogram and an adjacent Tukey's IQR boxplot, this multi-panel layout provides an instantaneous dual perspective: the histogram captures density and skewness, while the boxplot isolates quartile boundaries and outlier fences.</w:t>
      </w:r>
    </w:p>
    <w:p>
      <w:pPr>
        <w:spacing w:before="120" w:after="60"/>
        <w:jc w:val="center"/>
      </w:pPr>
      <w:r>
        <w:drawing>
          <wp:inline xmlns:a="http://schemas.openxmlformats.org/drawingml/2006/main" xmlns:pic="http://schemas.openxmlformats.org/drawingml/2006/picture">
            <wp:extent cx="5486400" cy="4732513"/>
            <wp:docPr id="1" name="Picture 1"/>
            <wp:cNvGraphicFramePr>
              <a:graphicFrameLocks noChangeAspect="1"/>
            </wp:cNvGraphicFramePr>
            <a:graphic>
              <a:graphicData uri="http://schemas.openxmlformats.org/drawingml/2006/picture">
                <pic:pic>
                  <pic:nvPicPr>
                    <pic:cNvPr id="0" name="fig1_univariate_distributions.png"/>
                    <pic:cNvPicPr/>
                  </pic:nvPicPr>
                  <pic:blipFill>
                    <a:blip r:embed="rId9"/>
                    <a:stretch>
                      <a:fillRect/>
                    </a:stretch>
                  </pic:blipFill>
                  <pic:spPr>
                    <a:xfrm>
                      <a:off x="0" y="0"/>
                      <a:ext cx="5486400" cy="4732513"/>
                    </a:xfrm>
                    <a:prstGeom prst="rect"/>
                  </pic:spPr>
                </pic:pic>
              </a:graphicData>
            </a:graphic>
          </wp:inline>
        </w:drawing>
      </w:r>
    </w:p>
    <w:p>
      <w:pPr>
        <w:spacing w:before="40" w:after="200"/>
        <w:jc w:val="center"/>
      </w:pPr>
      <w:r>
        <w:rPr>
          <w:rFonts w:ascii="Arial" w:hAnsi="Arial"/>
          <w:i/>
          <w:color w:val="718096"/>
          <w:sz w:val="17"/>
        </w:rPr>
        <w:t>Figure 1: Univariate Density Histograms with KDE Curves and Adjacent Boxplots for Transit Distance, Package Weight, and Delivery Cost.</w:t>
      </w:r>
    </w:p>
    <w:p>
      <w:pPr>
        <w:pStyle w:val="Heading2"/>
      </w:pPr>
      <w:r>
        <w:t>Figure 2: Multi-Variable Correlation Heatmap Matrix</w:t>
      </w:r>
    </w:p>
    <w:p>
      <w:r>
        <w:t>• Methodological Justification: When modeling multi-carrier operations, pairwise scatterplots across 8+ variables generate cognitive overload. A triangular correlation heatmap matrix encodes Pearson coefficients into divergent color gradients (Blue-to-Red), enabling immediate identification of collinear predictors (Distance vs Cost, r=0.991) and isolating independent drivers.</w:t>
      </w:r>
    </w:p>
    <w:p>
      <w:pPr>
        <w:spacing w:before="120" w:after="60"/>
        <w:jc w:val="center"/>
      </w:pPr>
      <w:r>
        <w:drawing>
          <wp:inline xmlns:a="http://schemas.openxmlformats.org/drawingml/2006/main" xmlns:pic="http://schemas.openxmlformats.org/drawingml/2006/picture">
            <wp:extent cx="5486400" cy="4646865"/>
            <wp:docPr id="2" name="Picture 2"/>
            <wp:cNvGraphicFramePr>
              <a:graphicFrameLocks noChangeAspect="1"/>
            </wp:cNvGraphicFramePr>
            <a:graphic>
              <a:graphicData uri="http://schemas.openxmlformats.org/drawingml/2006/picture">
                <pic:pic>
                  <pic:nvPicPr>
                    <pic:cNvPr id="0" name="fig2_correlation_heatmap.png"/>
                    <pic:cNvPicPr/>
                  </pic:nvPicPr>
                  <pic:blipFill>
                    <a:blip r:embed="rId10"/>
                    <a:stretch>
                      <a:fillRect/>
                    </a:stretch>
                  </pic:blipFill>
                  <pic:spPr>
                    <a:xfrm>
                      <a:off x="0" y="0"/>
                      <a:ext cx="5486400" cy="4646865"/>
                    </a:xfrm>
                    <a:prstGeom prst="rect"/>
                  </pic:spPr>
                </pic:pic>
              </a:graphicData>
            </a:graphic>
          </wp:inline>
        </w:drawing>
      </w:r>
    </w:p>
    <w:p>
      <w:pPr>
        <w:spacing w:before="40" w:after="200"/>
        <w:jc w:val="center"/>
      </w:pPr>
      <w:r>
        <w:rPr>
          <w:rFonts w:ascii="Arial" w:hAnsi="Arial"/>
          <w:i/>
          <w:color w:val="718096"/>
          <w:sz w:val="17"/>
        </w:rPr>
        <w:t>Figure 2: Triangular Pearson Correlation Heatmap Matrix Across Numerical Telematics and Performance Metrics.</w:t>
      </w:r>
    </w:p>
    <w:p>
      <w:pPr>
        <w:pStyle w:val="Heading2"/>
      </w:pPr>
      <w:r>
        <w:t>Figure 3: 3PL Carrier Multidimensional Benchmark Matrix (4D Bubble Chart)</w:t>
      </w:r>
    </w:p>
    <w:p>
      <w:r>
        <w:t>• Methodological Justification: Evaluating logistics suppliers requires multi-criteria decision analysis. A standard 2D scatterplot cannot simultaneously convey delivery punctuality, customer satisfaction, freight pricing, and failure severity. A 4D bubble chart maps Delay Rate % (X-axis), CSAT Rating (Y-axis), Average Cost (Bubble Size), and Failure Rate % (Color Gradient), instantly partitioning carriers into elite performers (Delhivery, FedEx) versus vulnerable partners (Xpressbees).</w:t>
      </w:r>
    </w:p>
    <w:p>
      <w:pPr>
        <w:spacing w:before="120" w:after="60"/>
        <w:jc w:val="center"/>
      </w:pPr>
      <w:r>
        <w:drawing>
          <wp:inline xmlns:a="http://schemas.openxmlformats.org/drawingml/2006/main" xmlns:pic="http://schemas.openxmlformats.org/drawingml/2006/picture">
            <wp:extent cx="5486400" cy="3457184"/>
            <wp:docPr id="3" name="Picture 3"/>
            <wp:cNvGraphicFramePr>
              <a:graphicFrameLocks noChangeAspect="1"/>
            </wp:cNvGraphicFramePr>
            <a:graphic>
              <a:graphicData uri="http://schemas.openxmlformats.org/drawingml/2006/picture">
                <pic:pic>
                  <pic:nvPicPr>
                    <pic:cNvPr id="0" name="fig3_carrier_benchmark_bubble.png"/>
                    <pic:cNvPicPr/>
                  </pic:nvPicPr>
                  <pic:blipFill>
                    <a:blip r:embed="rId11"/>
                    <a:stretch>
                      <a:fillRect/>
                    </a:stretch>
                  </pic:blipFill>
                  <pic:spPr>
                    <a:xfrm>
                      <a:off x="0" y="0"/>
                      <a:ext cx="5486400" cy="3457184"/>
                    </a:xfrm>
                    <a:prstGeom prst="rect"/>
                  </pic:spPr>
                </pic:pic>
              </a:graphicData>
            </a:graphic>
          </wp:inline>
        </w:drawing>
      </w:r>
    </w:p>
    <w:p>
      <w:pPr>
        <w:spacing w:before="40" w:after="200"/>
        <w:jc w:val="center"/>
      </w:pPr>
      <w:r>
        <w:rPr>
          <w:rFonts w:ascii="Arial" w:hAnsi="Arial"/>
          <w:i/>
          <w:color w:val="718096"/>
          <w:sz w:val="17"/>
        </w:rPr>
        <w:t>Figure 3: 4D 3PL Carrier Benchmark Matrix: Delay Rate vs. CSAT Rating vs. Average Freight Cost vs. Failure Severity.</w:t>
      </w:r>
    </w:p>
    <w:p>
      <w:pPr>
        <w:pStyle w:val="Heading2"/>
      </w:pPr>
      <w:r>
        <w:t>Figure 4: Delivery Mode Vulnerability Faceted Across Indian Regions</w:t>
      </w:r>
    </w:p>
    <w:p>
      <w:r>
        <w:t>• Methodological Justification: Aggregated national delay metrics hide geographic anomalies. A faceted categorical bar chart breaks down service mode performance across all five Indian economic corridors, demonstrating that Express delivery failure is not confined to a single hub, but represents a chronic national capacity deficit across North, South, East, West, and Central corridors.</w:t>
      </w:r>
    </w:p>
    <w:p>
      <w:pPr>
        <w:spacing w:before="120" w:after="60"/>
        <w:jc w:val="center"/>
      </w:pPr>
      <w:r>
        <w:drawing>
          <wp:inline xmlns:a="http://schemas.openxmlformats.org/drawingml/2006/main" xmlns:pic="http://schemas.openxmlformats.org/drawingml/2006/picture">
            <wp:extent cx="5486400" cy="1560881"/>
            <wp:docPr id="4" name="Picture 4"/>
            <wp:cNvGraphicFramePr>
              <a:graphicFrameLocks noChangeAspect="1"/>
            </wp:cNvGraphicFramePr>
            <a:graphic>
              <a:graphicData uri="http://schemas.openxmlformats.org/drawingml/2006/picture">
                <pic:pic>
                  <pic:nvPicPr>
                    <pic:cNvPr id="0" name="fig4_mode_vulnerability_faceted.png"/>
                    <pic:cNvPicPr/>
                  </pic:nvPicPr>
                  <pic:blipFill>
                    <a:blip r:embed="rId12"/>
                    <a:stretch>
                      <a:fillRect/>
                    </a:stretch>
                  </pic:blipFill>
                  <pic:spPr>
                    <a:xfrm>
                      <a:off x="0" y="0"/>
                      <a:ext cx="5486400" cy="1560881"/>
                    </a:xfrm>
                    <a:prstGeom prst="rect"/>
                  </pic:spPr>
                </pic:pic>
              </a:graphicData>
            </a:graphic>
          </wp:inline>
        </w:drawing>
      </w:r>
    </w:p>
    <w:p>
      <w:pPr>
        <w:spacing w:before="40" w:after="200"/>
        <w:jc w:val="center"/>
      </w:pPr>
      <w:r>
        <w:rPr>
          <w:rFonts w:ascii="Arial" w:hAnsi="Arial"/>
          <w:i/>
          <w:color w:val="718096"/>
          <w:sz w:val="17"/>
        </w:rPr>
        <w:t>Figure 4: Delivery Service Mode Delay Rate Faceted Across Five Indian Economic Corridors.</w:t>
      </w:r>
    </w:p>
    <w:p>
      <w:pPr>
        <w:pStyle w:val="Heading2"/>
      </w:pPr>
      <w:r>
        <w:t>Figure 5: Meteorological Shocks: Delay Probability and CSAT Dispersion</w:t>
      </w:r>
    </w:p>
    <w:p>
      <w:r>
        <w:t>• Methodological Justification: Environmental weather shocks cause severe variance in transit times. A dual-panel combination of a categorized delay bar chart and a Seaborn split violin plot captures both the macro delay probability (41.45% in storms) and the full probability density and quartile distribution of customer star ratings, highlighting the long negative tail under rain and fog.</w:t>
      </w:r>
    </w:p>
    <w:p>
      <w:pPr>
        <w:spacing w:before="120" w:after="60"/>
        <w:jc w:val="center"/>
      </w:pPr>
      <w:r>
        <w:drawing>
          <wp:inline xmlns:a="http://schemas.openxmlformats.org/drawingml/2006/main" xmlns:pic="http://schemas.openxmlformats.org/drawingml/2006/picture">
            <wp:extent cx="5486400" cy="2216653"/>
            <wp:docPr id="5" name="Picture 5"/>
            <wp:cNvGraphicFramePr>
              <a:graphicFrameLocks noChangeAspect="1"/>
            </wp:cNvGraphicFramePr>
            <a:graphic>
              <a:graphicData uri="http://schemas.openxmlformats.org/drawingml/2006/picture">
                <pic:pic>
                  <pic:nvPicPr>
                    <pic:cNvPr id="0" name="fig5_weather_impedance_violin.png"/>
                    <pic:cNvPicPr/>
                  </pic:nvPicPr>
                  <pic:blipFill>
                    <a:blip r:embed="rId13"/>
                    <a:stretch>
                      <a:fillRect/>
                    </a:stretch>
                  </pic:blipFill>
                  <pic:spPr>
                    <a:xfrm>
                      <a:off x="0" y="0"/>
                      <a:ext cx="5486400" cy="2216653"/>
                    </a:xfrm>
                    <a:prstGeom prst="rect"/>
                  </pic:spPr>
                </pic:pic>
              </a:graphicData>
            </a:graphic>
          </wp:inline>
        </w:drawing>
      </w:r>
    </w:p>
    <w:p>
      <w:pPr>
        <w:spacing w:before="40" w:after="200"/>
        <w:jc w:val="center"/>
      </w:pPr>
      <w:r>
        <w:rPr>
          <w:rFonts w:ascii="Arial" w:hAnsi="Arial"/>
          <w:i/>
          <w:color w:val="718096"/>
          <w:sz w:val="17"/>
        </w:rPr>
        <w:t>Figure 5: Delay Probability Bar Chart and CSAT Rating Violin Plots Across Prevailing Meteorological Conditions.</w:t>
      </w:r>
    </w:p>
    <w:p>
      <w:pPr>
        <w:pStyle w:val="Heading2"/>
      </w:pPr>
      <w:r>
        <w:t>Figure 6: Transportation Cost Function &amp; Distance Regression with Residuals</w:t>
      </w:r>
    </w:p>
    <w:p>
      <w:r>
        <w:t>• Methodological Justification: Validating freight billing structures requires verifying linearity and assessing homoscedasticity. An Ordinary Least Squares (OLS) regression plot with a 95% confidence band paired with a residual error histogram confirms that pricing adheres to a strictly linear model (R²=0.982, p&lt;0.001) with normally distributed residuals around zero, confirming consistent contract enforcement.</w:t>
      </w:r>
    </w:p>
    <w:p>
      <w:pPr>
        <w:spacing w:before="120" w:after="60"/>
        <w:jc w:val="center"/>
      </w:pPr>
      <w:r>
        <w:drawing>
          <wp:inline xmlns:a="http://schemas.openxmlformats.org/drawingml/2006/main" xmlns:pic="http://schemas.openxmlformats.org/drawingml/2006/picture">
            <wp:extent cx="5486400" cy="2216653"/>
            <wp:docPr id="6" name="Picture 6"/>
            <wp:cNvGraphicFramePr>
              <a:graphicFrameLocks noChangeAspect="1"/>
            </wp:cNvGraphicFramePr>
            <a:graphic>
              <a:graphicData uri="http://schemas.openxmlformats.org/drawingml/2006/picture">
                <pic:pic>
                  <pic:nvPicPr>
                    <pic:cNvPr id="0" name="fig6_cost_distance_regression.png"/>
                    <pic:cNvPicPr/>
                  </pic:nvPicPr>
                  <pic:blipFill>
                    <a:blip r:embed="rId14"/>
                    <a:stretch>
                      <a:fillRect/>
                    </a:stretch>
                  </pic:blipFill>
                  <pic:spPr>
                    <a:xfrm>
                      <a:off x="0" y="0"/>
                      <a:ext cx="5486400" cy="2216653"/>
                    </a:xfrm>
                    <a:prstGeom prst="rect"/>
                  </pic:spPr>
                </pic:pic>
              </a:graphicData>
            </a:graphic>
          </wp:inline>
        </w:drawing>
      </w:r>
    </w:p>
    <w:p>
      <w:pPr>
        <w:spacing w:before="40" w:after="200"/>
        <w:jc w:val="center"/>
      </w:pPr>
      <w:r>
        <w:rPr>
          <w:rFonts w:ascii="Arial" w:hAnsi="Arial"/>
          <w:i/>
          <w:color w:val="718096"/>
          <w:sz w:val="17"/>
        </w:rPr>
        <w:t>Figure 6: Parametric Freight Cost Regression Curve and Residual Error Distribution.</w:t>
      </w:r>
    </w:p>
    <w:p>
      <w:pPr>
        <w:pStyle w:val="Heading2"/>
      </w:pPr>
      <w:r>
        <w:t>Figure 7: Vehicle Fleet Operational Economics: Green Fleet (EV) vs. ICE</w:t>
      </w:r>
    </w:p>
    <w:p>
      <w:r>
        <w:t>• Methodological Justification: Decarbonization decisions require evaluating potential operational compromises. A paired bar chart comparing unit freight cost (Cost per KM) and delay rates across EV and ICE combustion fleets visually proves that electric vehicles achieve operational and economic parity (₹5.75/km vs ₹5.75/km, 26.4% vs 27.0% delay), eliminating perceived risks in fleet electrification.</w:t>
      </w:r>
    </w:p>
    <w:p>
      <w:pPr>
        <w:spacing w:before="120" w:after="60"/>
        <w:jc w:val="center"/>
      </w:pPr>
      <w:r>
        <w:drawing>
          <wp:inline xmlns:a="http://schemas.openxmlformats.org/drawingml/2006/main" xmlns:pic="http://schemas.openxmlformats.org/drawingml/2006/picture">
            <wp:extent cx="5486400" cy="2178772"/>
            <wp:docPr id="7" name="Picture 7"/>
            <wp:cNvGraphicFramePr>
              <a:graphicFrameLocks noChangeAspect="1"/>
            </wp:cNvGraphicFramePr>
            <a:graphic>
              <a:graphicData uri="http://schemas.openxmlformats.org/drawingml/2006/picture">
                <pic:pic>
                  <pic:nvPicPr>
                    <pic:cNvPr id="0" name="fig7_vehicle_efficiency_tradeoff.png"/>
                    <pic:cNvPicPr/>
                  </pic:nvPicPr>
                  <pic:blipFill>
                    <a:blip r:embed="rId15"/>
                    <a:stretch>
                      <a:fillRect/>
                    </a:stretch>
                  </pic:blipFill>
                  <pic:spPr>
                    <a:xfrm>
                      <a:off x="0" y="0"/>
                      <a:ext cx="5486400" cy="2178772"/>
                    </a:xfrm>
                    <a:prstGeom prst="rect"/>
                  </pic:spPr>
                </pic:pic>
              </a:graphicData>
            </a:graphic>
          </wp:inline>
        </w:drawing>
      </w:r>
    </w:p>
    <w:p>
      <w:pPr>
        <w:spacing w:before="40" w:after="200"/>
        <w:jc w:val="center"/>
      </w:pPr>
      <w:r>
        <w:rPr>
          <w:rFonts w:ascii="Arial" w:hAnsi="Arial"/>
          <w:i/>
          <w:color w:val="718096"/>
          <w:sz w:val="17"/>
        </w:rPr>
        <w:t>Figure 7: Vehicle Fleet Efficiency: Cost per KM and Delay Rates Across Electric Green Fleets (EV) and Combustion Fleets (ICE).</w:t>
      </w:r>
    </w:p>
    <w:p>
      <w:pPr>
        <w:pStyle w:val="Heading2"/>
      </w:pPr>
      <w:r>
        <w:t>Figure 8: Regional Shipment Density &amp; Carrier Volume Matrix</w:t>
      </w:r>
    </w:p>
    <w:p>
      <w:r>
        <w:t>• Methodological Justification: A 2D annotated cross-tabulation heatmap visualizes shipment volume concentration across Indian corridors and 3PL carriers, exposing partner dependency and ensuring load allocation across hubs remains balanced without single points of failure.</w:t>
      </w:r>
    </w:p>
    <w:p>
      <w:pPr>
        <w:spacing w:before="120" w:after="60"/>
        <w:jc w:val="center"/>
      </w:pPr>
      <w:r>
        <w:drawing>
          <wp:inline xmlns:a="http://schemas.openxmlformats.org/drawingml/2006/main" xmlns:pic="http://schemas.openxmlformats.org/drawingml/2006/picture">
            <wp:extent cx="5486400" cy="3684896"/>
            <wp:docPr id="8" name="Picture 8"/>
            <wp:cNvGraphicFramePr>
              <a:graphicFrameLocks noChangeAspect="1"/>
            </wp:cNvGraphicFramePr>
            <a:graphic>
              <a:graphicData uri="http://schemas.openxmlformats.org/drawingml/2006/picture">
                <pic:pic>
                  <pic:nvPicPr>
                    <pic:cNvPr id="0" name="fig8_regional_shipment_density.png"/>
                    <pic:cNvPicPr/>
                  </pic:nvPicPr>
                  <pic:blipFill>
                    <a:blip r:embed="rId16"/>
                    <a:stretch>
                      <a:fillRect/>
                    </a:stretch>
                  </pic:blipFill>
                  <pic:spPr>
                    <a:xfrm>
                      <a:off x="0" y="0"/>
                      <a:ext cx="5486400" cy="3684896"/>
                    </a:xfrm>
                    <a:prstGeom prst="rect"/>
                  </pic:spPr>
                </pic:pic>
              </a:graphicData>
            </a:graphic>
          </wp:inline>
        </w:drawing>
      </w:r>
    </w:p>
    <w:p>
      <w:pPr>
        <w:spacing w:before="40" w:after="200"/>
        <w:jc w:val="center"/>
      </w:pPr>
      <w:r>
        <w:rPr>
          <w:rFonts w:ascii="Arial" w:hAnsi="Arial"/>
          <w:i/>
          <w:color w:val="718096"/>
          <w:sz w:val="17"/>
        </w:rPr>
        <w:t>Figure 8: Regional Shipment Density and 3PL Carrier Allocation Cross-Tabulation Matrix.</w:t>
      </w:r>
    </w:p>
    <w:p>
      <w:pPr>
        <w:pStyle w:val="Heading2"/>
      </w:pPr>
      <w:r>
        <w:t>Figure 9: Service Quality Elasticity: Customer Rating Degradation</w:t>
      </w:r>
    </w:p>
    <w:p>
      <w:r>
        <w:t>• Methodological Justification: To translate operational delays into commercial impact, a 100% stacked bar chart detailing star rating composition is paired with an error-bar mean rating plot. This visually captures the collapse of customer satisfaction: 5-star ratings evaporate when orders transition from on-time (4.21 ★) to delayed (2.40 ★) and failed (1.31 ★).</w:t>
      </w:r>
    </w:p>
    <w:p>
      <w:pPr>
        <w:spacing w:before="120" w:after="60"/>
        <w:jc w:val="center"/>
      </w:pPr>
      <w:r>
        <w:drawing>
          <wp:inline xmlns:a="http://schemas.openxmlformats.org/drawingml/2006/main" xmlns:pic="http://schemas.openxmlformats.org/drawingml/2006/picture">
            <wp:extent cx="5486400" cy="2178772"/>
            <wp:docPr id="9" name="Picture 9"/>
            <wp:cNvGraphicFramePr>
              <a:graphicFrameLocks noChangeAspect="1"/>
            </wp:cNvGraphicFramePr>
            <a:graphic>
              <a:graphicData uri="http://schemas.openxmlformats.org/drawingml/2006/picture">
                <pic:pic>
                  <pic:nvPicPr>
                    <pic:cNvPr id="0" name="fig9_csat_degradation_analysis.png"/>
                    <pic:cNvPicPr/>
                  </pic:nvPicPr>
                  <pic:blipFill>
                    <a:blip r:embed="rId17"/>
                    <a:stretch>
                      <a:fillRect/>
                    </a:stretch>
                  </pic:blipFill>
                  <pic:spPr>
                    <a:xfrm>
                      <a:off x="0" y="0"/>
                      <a:ext cx="5486400" cy="2178772"/>
                    </a:xfrm>
                    <a:prstGeom prst="rect"/>
                  </pic:spPr>
                </pic:pic>
              </a:graphicData>
            </a:graphic>
          </wp:inline>
        </w:drawing>
      </w:r>
    </w:p>
    <w:p>
      <w:pPr>
        <w:spacing w:before="40" w:after="200"/>
        <w:jc w:val="center"/>
      </w:pPr>
      <w:r>
        <w:rPr>
          <w:rFonts w:ascii="Arial" w:hAnsi="Arial"/>
          <w:i/>
          <w:color w:val="718096"/>
          <w:sz w:val="17"/>
        </w:rPr>
        <w:t>Figure 9: Customer Satisfaction Composition and Mean CSAT Degradation Induced by Delivery Delays and Service Failures.</w:t>
      </w:r>
    </w:p>
    <w:p>
      <w:pPr>
        <w:pStyle w:val="Heading1"/>
      </w:pPr>
      <w:r>
        <w:rPr>
          <w:b/>
          <w:color w:val="1A365D"/>
        </w:rPr>
        <w:t>5. In-Depth Operational Insights &amp; Supply Chain Bottlenecks</w:t>
      </w:r>
    </w:p>
    <w:p>
      <w:r>
        <w:t>The synthesis of our statistical profiling and visualization suite isolates four critical operational bottlenecks:</w:t>
      </w:r>
    </w:p>
    <w:p>
      <w:pPr>
        <w:spacing w:before="60" w:after="40"/>
      </w:pPr>
      <w:r>
        <w:rPr>
          <w:b/>
          <w:color w:val="2B6CB0"/>
          <w:sz w:val="19"/>
        </w:rPr>
        <w:t>• 1. The Expedited Fulfillment Paradox</w:t>
        <w:br/>
      </w:r>
      <w:r>
        <w:rPr>
          <w:sz w:val="18"/>
        </w:rPr>
        <w:t>The logistics network suffers an acute operational breakdown in promised high-velocity tiers. Express deliveries fail to meet SLA 73.78% of the time, and Same-Day deliveries fail 32.54% of the time. In contrast, standard ground deliveries achieve 100% on-time fulfillment. This demonstrates that expedited commitments are marketed without dedicated rapid-sortation hubs or dedicated line-haul capacity.</w:t>
      </w:r>
    </w:p>
    <w:p>
      <w:pPr>
        <w:spacing w:before="60" w:after="40"/>
      </w:pPr>
      <w:r>
        <w:rPr>
          <w:b/>
          <w:color w:val="2B6CB0"/>
          <w:sz w:val="19"/>
        </w:rPr>
        <w:t>• 2. Weather Shock Fragility</w:t>
        <w:br/>
      </w:r>
      <w:r>
        <w:rPr>
          <w:sz w:val="18"/>
        </w:rPr>
        <w:t>Adverse weather drives delay rates up to 41.45% during storms and 37.35% during rain, compared to 16.0% in cold and 17.4% in clear weather. Because order management systems currently promise static delivery windows regardless of live weather telemetry, inclement weather inevitably leads to customer dissatisfaction.</w:t>
      </w:r>
    </w:p>
    <w:p>
      <w:pPr>
        <w:spacing w:before="60" w:after="40"/>
      </w:pPr>
      <w:r>
        <w:rPr>
          <w:b/>
          <w:color w:val="2B6CB0"/>
          <w:sz w:val="19"/>
        </w:rPr>
        <w:t>• 3. 3PL Partner Performance Polarization</w:t>
        <w:br/>
      </w:r>
      <w:r>
        <w:rPr>
          <w:sz w:val="18"/>
        </w:rPr>
        <w:t>Empirical tiering demonstrates significant performance polarization among the nine carriers. Delhivery (24.80% delay, ₹848.11 avg cost) and FedEx (25.16% delay, 3.70 CSAT) represent the benchmark tier. In contrast, Xpressbees (28.27% delay, 5.91% failure rate) and Ekart (27.42% delay) represent high operational risk.</w:t>
      </w:r>
    </w:p>
    <w:p>
      <w:pPr>
        <w:spacing w:before="60" w:after="40"/>
      </w:pPr>
      <w:r>
        <w:rPr>
          <w:b/>
          <w:color w:val="2B6CB0"/>
          <w:sz w:val="19"/>
        </w:rPr>
        <w:t>• 4. Fleet Electrification Economics</w:t>
        <w:br/>
      </w:r>
      <w:r>
        <w:rPr>
          <w:sz w:val="18"/>
        </w:rPr>
        <w:t>Electric Vehicles (EV Bikes and EV Vans) account for 33.3% of total network volume (8,334 shipments). Unit freight costs for EVs (₹5.75/km) and delay rates (26.43% - 26.63%) are fully comparable to traditional ICE combustion vehicles, validating the commercial and operational viability of expanding green fleet electrification.</w:t>
      </w:r>
    </w:p>
    <w:p>
      <w:pPr>
        <w:spacing w:after="80"/>
      </w:pPr>
    </w:p>
    <w:p>
      <w:pPr>
        <w:pStyle w:val="Heading1"/>
      </w:pPr>
      <w:r>
        <w:rPr>
          <w:b/>
          <w:color w:val="1A365D"/>
        </w:rPr>
        <w:t>6. Python Code Excerpts &amp; Analytical Pipeline Architecture</w:t>
      </w:r>
    </w:p>
    <w:p>
      <w:r>
        <w:t>The analytical routines executed in `advanced_data_analysis_and_visualization.ipynb` follow modular, production-ready Python structures:</w:t>
      </w:r>
    </w:p>
    <w:p>
      <w:pPr>
        <w:spacing w:before="60" w:after="40"/>
      </w:pPr>
      <w:r>
        <w:rPr>
          <w:b/>
          <w:color w:val="2B6CB0"/>
          <w:sz w:val="19"/>
        </w:rPr>
        <w:t>▶ Snippet 1: Central Tendencies &amp; Dispersion Computation Engine</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30" w:type="dxa"/>
              <w:right w:w="130" w:type="dxa"/>
            </w:tcMar>
          </w:tcPr>
          <w:p>
            <w:pPr>
              <w:spacing w:after="0"/>
            </w:pPr>
            <w:r>
              <w:rPr>
                <w:rFonts w:ascii="Courier New" w:hAnsi="Courier New"/>
                <w:color w:val="EDF2F7"/>
                <w:sz w:val="17"/>
              </w:rPr>
              <w:t># Compute central tendencies, spread, and distribution skewness</w:t>
              <w:br/>
              <w:t>stat_rows = []</w:t>
              <w:br/>
              <w:t>for col in ['distance_km', 'package_weight_kg', 'delivery_cost', 'cost_per_km']:</w:t>
              <w:br/>
              <w:t xml:space="preserve">    s = df[col]</w:t>
              <w:br/>
              <w:t xml:space="preserve">    stat_rows.append({</w:t>
              <w:br/>
              <w:t xml:space="preserve">        'Feature': col, 'Mean': s.mean(), 'Median': s.median(),</w:t>
              <w:br/>
              <w:t xml:space="preserve">        'Mode': s.mode()[0], '5% Trimmed': stats.trim_mean(s, 0.05),</w:t>
              <w:br/>
              <w:t xml:space="preserve">        'Std Dev': s.std(), 'Variance': s.var(), 'IQR': s.quantile(0.75) - s.quantile(0.25),</w:t>
              <w:br/>
              <w:t xml:space="preserve">        'Skewness': s.skew(), 'Kurtosis': s.kurtosis()</w:t>
              <w:br/>
              <w:t xml:space="preserve">    })</w:t>
              <w:br/>
              <w:t>stat_df = pd.DataFrame(stat_rows)</w:t>
              <w:br/>
              <w:t>display(stat_df)</w:t>
            </w:r>
          </w:p>
        </w:tc>
      </w:tr>
    </w:tbl>
    <w:p>
      <w:pPr>
        <w:spacing w:after="80"/>
      </w:pPr>
    </w:p>
    <w:p>
      <w:pPr>
        <w:spacing w:before="60" w:after="40"/>
      </w:pPr>
      <w:r>
        <w:rPr>
          <w:b/>
          <w:color w:val="2B6CB0"/>
          <w:sz w:val="19"/>
        </w:rPr>
        <w:t>▶ Snippet 2: 4D Multi-Criteria Carrier Bubble Plot</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30" w:type="dxa"/>
              <w:right w:w="130" w:type="dxa"/>
            </w:tcMar>
          </w:tcPr>
          <w:p>
            <w:pPr>
              <w:spacing w:after="0"/>
            </w:pPr>
            <w:r>
              <w:rPr>
                <w:rFonts w:ascii="Courier New" w:hAnsi="Courier New"/>
                <w:color w:val="EDF2F7"/>
                <w:sz w:val="17"/>
              </w:rPr>
              <w:t># 4D Carrier Performance Scatter Matrix</w:t>
              <w:br/>
              <w:t>fig, ax = plt.subplots(figsize=(11, 6.5))</w:t>
              <w:br/>
              <w:t>carrier_df = df.groupby('delivery_partner').agg(</w:t>
              <w:br/>
              <w:t xml:space="preserve">    vol=('delivery_id', 'count'), delay=('delayed', lambda x: (x == 'yes').mean() * 100),</w:t>
              <w:br/>
              <w:t xml:space="preserve">    fail=('delivery_status', lambda x: (x == 'failed').mean() * 100),</w:t>
              <w:br/>
              <w:t xml:space="preserve">    cost=('delivery_cost', 'mean'), csat=('delivery_rating', 'mean')</w:t>
              <w:br/>
              <w:t>).reset_index()</w:t>
              <w:br/>
              <w:br/>
              <w:t>scatter = ax.scatter(carrier_df['delay'], carrier_df['csat'], s=carrier_df['cost']*0.9,</w:t>
              <w:br/>
              <w:t xml:space="preserve">                     c=carrier_df['fail'], cmap='YlOrRd', edgecolors='black', alpha=0.85)</w:t>
              <w:br/>
              <w:t>plt.colorbar(scatter, ax=ax, label='Failure Rate (%)')</w:t>
              <w:br/>
              <w:t>plt.show()</w:t>
            </w:r>
          </w:p>
        </w:tc>
      </w:tr>
    </w:tbl>
    <w:p>
      <w:pPr>
        <w:spacing w:after="80"/>
      </w:pPr>
    </w:p>
    <w:p>
      <w:pPr>
        <w:spacing w:before="60" w:after="40"/>
      </w:pPr>
      <w:r>
        <w:rPr>
          <w:b/>
          <w:color w:val="2B6CB0"/>
          <w:sz w:val="19"/>
        </w:rPr>
        <w:t>▶ Snippet 3: OLS Cost Regression &amp; Residual Diagnostic Pipeline</w:t>
      </w:r>
    </w:p>
    <w:tbl>
      <w:tblPr>
        <w:tblW w:type="auto" w:w="0"/>
        <w:jc w:val="center"/>
        <w:tblLook w:firstColumn="1" w:firstRow="1" w:lastColumn="0" w:lastRow="0" w:noHBand="0" w:noVBand="1" w:val="04A0"/>
      </w:tblPr>
      <w:tblGrid>
        <w:gridCol w:w="9360"/>
      </w:tblGrid>
      <w:tr>
        <w:tc>
          <w:tcPr>
            <w:tcW w:type="dxa" w:w="9360"/>
            <w:shd w:fill="2D3748"/>
            <w:tcMar>
              <w:top w:w="90" w:type="dxa"/>
              <w:bottom w:w="90" w:type="dxa"/>
              <w:left w:w="130" w:type="dxa"/>
              <w:right w:w="130" w:type="dxa"/>
            </w:tcMar>
          </w:tcPr>
          <w:p>
            <w:pPr>
              <w:spacing w:after="0"/>
            </w:pPr>
            <w:r>
              <w:rPr>
                <w:rFonts w:ascii="Courier New" w:hAnsi="Courier New"/>
                <w:color w:val="EDF2F7"/>
                <w:sz w:val="17"/>
              </w:rPr>
              <w:t># Parametric OLS cost regression and residual diagnostics</w:t>
              <w:br/>
              <w:t>slope, intercept, r_val, p_val, std_err = stats.linregress(df['distance_km'], df['delivery_cost'])</w:t>
              <w:br/>
              <w:t>residuals = df['delivery_cost'] - (slope * df['distance_km'] + intercept)</w:t>
              <w:br/>
              <w:t>sns.histplot(residuals, kde=True, bins=35, color='#4A5568')</w:t>
              <w:br/>
              <w:t>print(f"R² Score: {r_val**2:.4f} | Slope: ₹{slope:.2f}/km | Mean Error: ₹{residuals.mean():.2f}")</w:t>
            </w:r>
          </w:p>
        </w:tc>
      </w:tr>
    </w:tbl>
    <w:p>
      <w:pPr>
        <w:spacing w:after="80"/>
      </w:pPr>
    </w:p>
    <w:p>
      <w:pPr>
        <w:pStyle w:val="Heading1"/>
      </w:pPr>
      <w:r>
        <w:rPr>
          <w:b/>
          <w:color w:val="1A365D"/>
        </w:rPr>
        <w:t>7. Strategic Recommendations &amp; Executive Decision Framework</w:t>
      </w:r>
    </w:p>
    <w:p>
      <w:r>
        <w:t>Based on the empirical evidence, the following four strategic initiatives are recommended for supply chain leadership:</w:t>
      </w:r>
    </w:p>
    <w:p>
      <w:pPr>
        <w:spacing w:before="60" w:after="40"/>
      </w:pPr>
      <w:r>
        <w:rPr>
          <w:b/>
          <w:color w:val="2B6CB0"/>
          <w:sz w:val="19"/>
        </w:rPr>
        <w:t>✔ 1. Dynamic SLA Buffering for Expedited Deliveries</w:t>
        <w:br/>
      </w:r>
      <w:r>
        <w:rPr>
          <w:sz w:val="18"/>
        </w:rPr>
        <w:t>Cease offering fixed 24-48 hour Express delivery guarantees on lanes exceeding 200 km unless routed through premium carriers (Delhivery, FedEx). Implement dynamic promise dates at checkout to eliminate SLA penalty fees.</w:t>
      </w:r>
    </w:p>
    <w:p>
      <w:pPr>
        <w:spacing w:before="60" w:after="40"/>
      </w:pPr>
      <w:r>
        <w:rPr>
          <w:b/>
          <w:color w:val="2B6CB0"/>
          <w:sz w:val="19"/>
        </w:rPr>
        <w:t>✔ 2. Weather-Adaptive Dispatch Automation</w:t>
        <w:br/>
      </w:r>
      <w:r>
        <w:rPr>
          <w:sz w:val="18"/>
        </w:rPr>
        <w:t>Integrate live weather API feeds into the Transport Management System (TMS). Automatically append 4-6 hour delivery buffers during stormy or rainy conditions and send automated proactive alerts to customers, mitigating rating degradation.</w:t>
      </w:r>
    </w:p>
    <w:p>
      <w:pPr>
        <w:spacing w:before="60" w:after="40"/>
      </w:pPr>
      <w:r>
        <w:rPr>
          <w:b/>
          <w:color w:val="2B6CB0"/>
          <w:sz w:val="19"/>
        </w:rPr>
        <w:t>✔ 3. Carrier Allocation Shift</w:t>
        <w:br/>
      </w:r>
      <w:r>
        <w:rPr>
          <w:sz w:val="18"/>
        </w:rPr>
        <w:t>Reallocate 20-25% of dispatch volume from lagging carriers (Xpressbees) to top-tier partners (Delhivery, FedEx), and institute strict contractual penalties for monthly carrier failure rates exceeding 5.0%.</w:t>
      </w:r>
    </w:p>
    <w:p>
      <w:pPr>
        <w:spacing w:before="60" w:after="40"/>
      </w:pPr>
      <w:r>
        <w:rPr>
          <w:b/>
          <w:color w:val="2B6CB0"/>
          <w:sz w:val="19"/>
        </w:rPr>
        <w:t>✔ 4. Accelerated Green Fleet Electrification</w:t>
        <w:br/>
      </w:r>
      <w:r>
        <w:rPr>
          <w:sz w:val="18"/>
        </w:rPr>
        <w:t>Expand EV deployment across dense urban hubs in West and Central economic zones, capitalizing on proven parity in unit freight cost (₹5.75/km) and punctuality to capture ESG cost savings without operational compromise.</w:t>
      </w:r>
    </w:p>
    <w:p>
      <w:pPr>
        <w:spacing w:after="80"/>
      </w:pP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vAlign w:val="center"/>
            <w:tcMar>
              <w:top w:w="110" w:type="dxa"/>
              <w:bottom w:w="110" w:type="dxa"/>
              <w:left w:w="130" w:type="dxa"/>
              <w:right w:w="130" w:type="dxa"/>
            </w:tcMar>
            <w:shd w:fill="1A365D"/>
          </w:tcPr>
          <w:p>
            <w:pPr>
              <w:jc w:val="left"/>
            </w:pPr>
            <w:r>
              <w:rPr>
                <w:rFonts w:ascii="Arial" w:hAnsi="Arial"/>
                <w:b/>
                <w:color w:val="FFFFFF"/>
                <w:sz w:val="18"/>
              </w:rPr>
              <w:t>Key Performance Indicator (KPI)</w:t>
            </w:r>
          </w:p>
        </w:tc>
        <w:tc>
          <w:tcPr>
            <w:tcW w:type="dxa" w:w="1872"/>
            <w:vAlign w:val="center"/>
            <w:tcMar>
              <w:top w:w="110" w:type="dxa"/>
              <w:bottom w:w="110" w:type="dxa"/>
              <w:left w:w="130" w:type="dxa"/>
              <w:right w:w="130" w:type="dxa"/>
            </w:tcMar>
            <w:shd w:fill="1A365D"/>
          </w:tcPr>
          <w:p>
            <w:pPr>
              <w:jc w:val="left"/>
            </w:pPr>
            <w:r>
              <w:rPr>
                <w:rFonts w:ascii="Arial" w:hAnsi="Arial"/>
                <w:b/>
                <w:color w:val="FFFFFF"/>
                <w:sz w:val="18"/>
              </w:rPr>
              <w:t>Current Baseline</w:t>
            </w:r>
          </w:p>
        </w:tc>
        <w:tc>
          <w:tcPr>
            <w:tcW w:type="dxa" w:w="1872"/>
            <w:vAlign w:val="center"/>
            <w:tcMar>
              <w:top w:w="110" w:type="dxa"/>
              <w:bottom w:w="110" w:type="dxa"/>
              <w:left w:w="130" w:type="dxa"/>
              <w:right w:w="130" w:type="dxa"/>
            </w:tcMar>
            <w:shd w:fill="1A365D"/>
          </w:tcPr>
          <w:p>
            <w:pPr>
              <w:jc w:val="left"/>
            </w:pPr>
            <w:r>
              <w:rPr>
                <w:rFonts w:ascii="Arial" w:hAnsi="Arial"/>
                <w:b/>
                <w:color w:val="FFFFFF"/>
                <w:sz w:val="18"/>
              </w:rPr>
              <w:t>Industry Standard</w:t>
            </w:r>
          </w:p>
        </w:tc>
        <w:tc>
          <w:tcPr>
            <w:tcW w:type="dxa" w:w="2016"/>
            <w:vAlign w:val="center"/>
            <w:tcMar>
              <w:top w:w="110" w:type="dxa"/>
              <w:bottom w:w="110" w:type="dxa"/>
              <w:left w:w="130" w:type="dxa"/>
              <w:right w:w="130" w:type="dxa"/>
            </w:tcMar>
            <w:shd w:fill="1A365D"/>
          </w:tcPr>
          <w:p>
            <w:pPr>
              <w:jc w:val="left"/>
            </w:pPr>
            <w:r>
              <w:rPr>
                <w:rFonts w:ascii="Arial" w:hAnsi="Arial"/>
                <w:b/>
                <w:color w:val="FFFFFF"/>
                <w:sz w:val="18"/>
              </w:rPr>
              <w:t>Phase 1 Target</w:t>
            </w:r>
          </w:p>
        </w:tc>
      </w:tr>
      <w:tr>
        <w:trPr>
          <w:cantSplit/>
        </w:trPr>
        <w:tc>
          <w:tcPr>
            <w:tcW w:type="dxa" w:w="3168"/>
            <w:vAlign w:val="center"/>
            <w:tcMar>
              <w:top w:w="110" w:type="dxa"/>
              <w:bottom w:w="110" w:type="dxa"/>
              <w:left w:w="130" w:type="dxa"/>
              <w:right w:w="130" w:type="dxa"/>
            </w:tcMar>
            <w:shd w:fill="F7FAFC"/>
          </w:tcPr>
          <w:p>
            <w:r>
              <w:rPr>
                <w:rFonts w:ascii="Arial" w:hAnsi="Arial"/>
                <w:color w:val="2D3748"/>
                <w:sz w:val="17"/>
              </w:rPr>
              <w:t>On-Time Delivery Rate (OTDR)</w:t>
            </w:r>
          </w:p>
        </w:tc>
        <w:tc>
          <w:tcPr>
            <w:tcW w:type="dxa" w:w="1872"/>
            <w:vAlign w:val="center"/>
            <w:tcMar>
              <w:top w:w="110" w:type="dxa"/>
              <w:bottom w:w="110" w:type="dxa"/>
              <w:left w:w="130" w:type="dxa"/>
              <w:right w:w="130" w:type="dxa"/>
            </w:tcMar>
            <w:shd w:fill="F7FAFC"/>
          </w:tcPr>
          <w:p>
            <w:r>
              <w:rPr>
                <w:rFonts w:ascii="Arial" w:hAnsi="Arial"/>
                <w:color w:val="2D3748"/>
                <w:sz w:val="17"/>
              </w:rPr>
              <w:t>73.32%</w:t>
            </w:r>
          </w:p>
        </w:tc>
        <w:tc>
          <w:tcPr>
            <w:tcW w:type="dxa" w:w="1872"/>
            <w:vAlign w:val="center"/>
            <w:tcMar>
              <w:top w:w="110" w:type="dxa"/>
              <w:bottom w:w="110" w:type="dxa"/>
              <w:left w:w="130" w:type="dxa"/>
              <w:right w:w="130" w:type="dxa"/>
            </w:tcMar>
            <w:shd w:fill="F7FAFC"/>
          </w:tcPr>
          <w:p>
            <w:r>
              <w:rPr>
                <w:rFonts w:ascii="Arial" w:hAnsi="Arial"/>
                <w:color w:val="2D3748"/>
                <w:sz w:val="17"/>
              </w:rPr>
              <w:t>&gt;= 95.0%</w:t>
            </w:r>
          </w:p>
        </w:tc>
        <w:tc>
          <w:tcPr>
            <w:tcW w:type="dxa" w:w="2016"/>
            <w:vAlign w:val="center"/>
            <w:tcMar>
              <w:top w:w="110" w:type="dxa"/>
              <w:bottom w:w="110" w:type="dxa"/>
              <w:left w:w="130" w:type="dxa"/>
              <w:right w:w="130" w:type="dxa"/>
            </w:tcMar>
            <w:shd w:fill="F7FAFC"/>
          </w:tcPr>
          <w:p>
            <w:r>
              <w:rPr>
                <w:rFonts w:ascii="Arial" w:hAnsi="Arial"/>
                <w:color w:val="2D3748"/>
                <w:sz w:val="17"/>
              </w:rPr>
              <w:t>&gt;= 88.0%</w:t>
            </w:r>
          </w:p>
        </w:tc>
      </w:tr>
      <w:tr>
        <w:trPr>
          <w:cantSplit/>
        </w:trPr>
        <w:tc>
          <w:tcPr>
            <w:tcW w:type="dxa" w:w="3168"/>
            <w:vAlign w:val="center"/>
            <w:tcMar>
              <w:top w:w="110" w:type="dxa"/>
              <w:bottom w:w="110" w:type="dxa"/>
              <w:left w:w="130" w:type="dxa"/>
              <w:right w:w="130" w:type="dxa"/>
            </w:tcMar>
            <w:shd w:fill="FFFFFF"/>
          </w:tcPr>
          <w:p>
            <w:r>
              <w:rPr>
                <w:rFonts w:ascii="Arial" w:hAnsi="Arial"/>
                <w:color w:val="2D3748"/>
                <w:sz w:val="17"/>
              </w:rPr>
              <w:t>Overall Delay Rate</w:t>
            </w:r>
          </w:p>
        </w:tc>
        <w:tc>
          <w:tcPr>
            <w:tcW w:type="dxa" w:w="1872"/>
            <w:vAlign w:val="center"/>
            <w:tcMar>
              <w:top w:w="110" w:type="dxa"/>
              <w:bottom w:w="110" w:type="dxa"/>
              <w:left w:w="130" w:type="dxa"/>
              <w:right w:w="130" w:type="dxa"/>
            </w:tcMar>
            <w:shd w:fill="FFFFFF"/>
          </w:tcPr>
          <w:p>
            <w:r>
              <w:rPr>
                <w:rFonts w:ascii="Arial" w:hAnsi="Arial"/>
                <w:color w:val="2D3748"/>
                <w:sz w:val="17"/>
              </w:rPr>
              <w:t>21.36%</w:t>
            </w:r>
          </w:p>
        </w:tc>
        <w:tc>
          <w:tcPr>
            <w:tcW w:type="dxa" w:w="1872"/>
            <w:vAlign w:val="center"/>
            <w:tcMar>
              <w:top w:w="110" w:type="dxa"/>
              <w:bottom w:w="110" w:type="dxa"/>
              <w:left w:w="130" w:type="dxa"/>
              <w:right w:w="130" w:type="dxa"/>
            </w:tcMar>
            <w:shd w:fill="FFFFFF"/>
          </w:tcPr>
          <w:p>
            <w:r>
              <w:rPr>
                <w:rFonts w:ascii="Arial" w:hAnsi="Arial"/>
                <w:color w:val="2D3748"/>
                <w:sz w:val="17"/>
              </w:rPr>
              <w:t>&lt; 4.0%</w:t>
            </w:r>
          </w:p>
        </w:tc>
        <w:tc>
          <w:tcPr>
            <w:tcW w:type="dxa" w:w="2016"/>
            <w:vAlign w:val="center"/>
            <w:tcMar>
              <w:top w:w="110" w:type="dxa"/>
              <w:bottom w:w="110" w:type="dxa"/>
              <w:left w:w="130" w:type="dxa"/>
              <w:right w:w="130" w:type="dxa"/>
            </w:tcMar>
            <w:shd w:fill="FFFFFF"/>
          </w:tcPr>
          <w:p>
            <w:r>
              <w:rPr>
                <w:rFonts w:ascii="Arial" w:hAnsi="Arial"/>
                <w:color w:val="2D3748"/>
                <w:sz w:val="17"/>
              </w:rPr>
              <w:t>&lt; 10.0%</w:t>
            </w:r>
          </w:p>
        </w:tc>
      </w:tr>
      <w:tr>
        <w:trPr>
          <w:cantSplit/>
        </w:trPr>
        <w:tc>
          <w:tcPr>
            <w:tcW w:type="dxa" w:w="3168"/>
            <w:vAlign w:val="center"/>
            <w:tcMar>
              <w:top w:w="110" w:type="dxa"/>
              <w:bottom w:w="110" w:type="dxa"/>
              <w:left w:w="130" w:type="dxa"/>
              <w:right w:w="130" w:type="dxa"/>
            </w:tcMar>
            <w:shd w:fill="F7FAFC"/>
          </w:tcPr>
          <w:p>
            <w:r>
              <w:rPr>
                <w:rFonts w:ascii="Arial" w:hAnsi="Arial"/>
                <w:color w:val="2D3748"/>
                <w:sz w:val="17"/>
              </w:rPr>
              <w:t>Shipment Failure Rate (SFR)</w:t>
            </w:r>
          </w:p>
        </w:tc>
        <w:tc>
          <w:tcPr>
            <w:tcW w:type="dxa" w:w="1872"/>
            <w:vAlign w:val="center"/>
            <w:tcMar>
              <w:top w:w="110" w:type="dxa"/>
              <w:bottom w:w="110" w:type="dxa"/>
              <w:left w:w="130" w:type="dxa"/>
              <w:right w:w="130" w:type="dxa"/>
            </w:tcMar>
            <w:shd w:fill="F7FAFC"/>
          </w:tcPr>
          <w:p>
            <w:r>
              <w:rPr>
                <w:rFonts w:ascii="Arial" w:hAnsi="Arial"/>
                <w:color w:val="2D3748"/>
                <w:sz w:val="17"/>
              </w:rPr>
              <w:t>5.31%</w:t>
            </w:r>
          </w:p>
        </w:tc>
        <w:tc>
          <w:tcPr>
            <w:tcW w:type="dxa" w:w="1872"/>
            <w:vAlign w:val="center"/>
            <w:tcMar>
              <w:top w:w="110" w:type="dxa"/>
              <w:bottom w:w="110" w:type="dxa"/>
              <w:left w:w="130" w:type="dxa"/>
              <w:right w:w="130" w:type="dxa"/>
            </w:tcMar>
            <w:shd w:fill="F7FAFC"/>
          </w:tcPr>
          <w:p>
            <w:r>
              <w:rPr>
                <w:rFonts w:ascii="Arial" w:hAnsi="Arial"/>
                <w:color w:val="2D3748"/>
                <w:sz w:val="17"/>
              </w:rPr>
              <w:t>&lt; 1.5%</w:t>
            </w:r>
          </w:p>
        </w:tc>
        <w:tc>
          <w:tcPr>
            <w:tcW w:type="dxa" w:w="2016"/>
            <w:vAlign w:val="center"/>
            <w:tcMar>
              <w:top w:w="110" w:type="dxa"/>
              <w:bottom w:w="110" w:type="dxa"/>
              <w:left w:w="130" w:type="dxa"/>
              <w:right w:w="130" w:type="dxa"/>
            </w:tcMar>
            <w:shd w:fill="F7FAFC"/>
          </w:tcPr>
          <w:p>
            <w:r>
              <w:rPr>
                <w:rFonts w:ascii="Arial" w:hAnsi="Arial"/>
                <w:color w:val="2D3748"/>
                <w:sz w:val="17"/>
              </w:rPr>
              <w:t>&lt; 2.0%</w:t>
            </w:r>
          </w:p>
        </w:tc>
      </w:tr>
      <w:tr>
        <w:trPr>
          <w:cantSplit/>
        </w:trPr>
        <w:tc>
          <w:tcPr>
            <w:tcW w:type="dxa" w:w="3168"/>
            <w:vAlign w:val="center"/>
            <w:tcMar>
              <w:top w:w="110" w:type="dxa"/>
              <w:bottom w:w="110" w:type="dxa"/>
              <w:left w:w="130" w:type="dxa"/>
              <w:right w:w="130" w:type="dxa"/>
            </w:tcMar>
            <w:shd w:fill="FFFFFF"/>
          </w:tcPr>
          <w:p>
            <w:r>
              <w:rPr>
                <w:rFonts w:ascii="Arial" w:hAnsi="Arial"/>
                <w:color w:val="2D3748"/>
                <w:sz w:val="17"/>
              </w:rPr>
              <w:t>Average Delivery Cost</w:t>
            </w:r>
          </w:p>
        </w:tc>
        <w:tc>
          <w:tcPr>
            <w:tcW w:type="dxa" w:w="1872"/>
            <w:vAlign w:val="center"/>
            <w:tcMar>
              <w:top w:w="110" w:type="dxa"/>
              <w:bottom w:w="110" w:type="dxa"/>
              <w:left w:w="130" w:type="dxa"/>
              <w:right w:w="130" w:type="dxa"/>
            </w:tcMar>
            <w:shd w:fill="FFFFFF"/>
          </w:tcPr>
          <w:p>
            <w:r>
              <w:rPr>
                <w:rFonts w:ascii="Arial" w:hAnsi="Arial"/>
                <w:color w:val="2D3748"/>
                <w:sz w:val="17"/>
              </w:rPr>
              <w:t>₹864.94</w:t>
            </w:r>
          </w:p>
        </w:tc>
        <w:tc>
          <w:tcPr>
            <w:tcW w:type="dxa" w:w="1872"/>
            <w:vAlign w:val="center"/>
            <w:tcMar>
              <w:top w:w="110" w:type="dxa"/>
              <w:bottom w:w="110" w:type="dxa"/>
              <w:left w:w="130" w:type="dxa"/>
              <w:right w:w="130" w:type="dxa"/>
            </w:tcMar>
            <w:shd w:fill="FFFFFF"/>
          </w:tcPr>
          <w:p>
            <w:r>
              <w:rPr>
                <w:rFonts w:ascii="Arial" w:hAnsi="Arial"/>
                <w:color w:val="2D3748"/>
                <w:sz w:val="17"/>
              </w:rPr>
              <w:t>₹750.00</w:t>
            </w:r>
          </w:p>
        </w:tc>
        <w:tc>
          <w:tcPr>
            <w:tcW w:type="dxa" w:w="2016"/>
            <w:vAlign w:val="center"/>
            <w:tcMar>
              <w:top w:w="110" w:type="dxa"/>
              <w:bottom w:w="110" w:type="dxa"/>
              <w:left w:w="130" w:type="dxa"/>
              <w:right w:w="130" w:type="dxa"/>
            </w:tcMar>
            <w:shd w:fill="FFFFFF"/>
          </w:tcPr>
          <w:p>
            <w:r>
              <w:rPr>
                <w:rFonts w:ascii="Arial" w:hAnsi="Arial"/>
                <w:color w:val="2D3748"/>
                <w:sz w:val="17"/>
              </w:rPr>
              <w:t>₹800.00 (-7.5%)</w:t>
            </w:r>
          </w:p>
        </w:tc>
      </w:tr>
      <w:tr>
        <w:trPr>
          <w:cantSplit/>
        </w:trPr>
        <w:tc>
          <w:tcPr>
            <w:tcW w:type="dxa" w:w="3168"/>
            <w:vAlign w:val="center"/>
            <w:tcMar>
              <w:top w:w="110" w:type="dxa"/>
              <w:bottom w:w="110" w:type="dxa"/>
              <w:left w:w="130" w:type="dxa"/>
              <w:right w:w="130" w:type="dxa"/>
            </w:tcMar>
            <w:shd w:fill="F7FAFC"/>
          </w:tcPr>
          <w:p>
            <w:r>
              <w:rPr>
                <w:rFonts w:ascii="Arial" w:hAnsi="Arial"/>
                <w:color w:val="2D3748"/>
                <w:sz w:val="17"/>
              </w:rPr>
              <w:t>Customer Satisfaction (CSAT)</w:t>
            </w:r>
          </w:p>
        </w:tc>
        <w:tc>
          <w:tcPr>
            <w:tcW w:type="dxa" w:w="1872"/>
            <w:vAlign w:val="center"/>
            <w:tcMar>
              <w:top w:w="110" w:type="dxa"/>
              <w:bottom w:w="110" w:type="dxa"/>
              <w:left w:w="130" w:type="dxa"/>
              <w:right w:w="130" w:type="dxa"/>
            </w:tcMar>
            <w:shd w:fill="F7FAFC"/>
          </w:tcPr>
          <w:p>
            <w:r>
              <w:rPr>
                <w:rFonts w:ascii="Arial" w:hAnsi="Arial"/>
                <w:color w:val="2D3748"/>
                <w:sz w:val="17"/>
              </w:rPr>
              <w:t>3.67 / 5.0 ★</w:t>
            </w:r>
          </w:p>
        </w:tc>
        <w:tc>
          <w:tcPr>
            <w:tcW w:type="dxa" w:w="1872"/>
            <w:vAlign w:val="center"/>
            <w:tcMar>
              <w:top w:w="110" w:type="dxa"/>
              <w:bottom w:w="110" w:type="dxa"/>
              <w:left w:w="130" w:type="dxa"/>
              <w:right w:w="130" w:type="dxa"/>
            </w:tcMar>
            <w:shd w:fill="F7FAFC"/>
          </w:tcPr>
          <w:p>
            <w:r>
              <w:rPr>
                <w:rFonts w:ascii="Arial" w:hAnsi="Arial"/>
                <w:color w:val="2D3748"/>
                <w:sz w:val="17"/>
              </w:rPr>
              <w:t>&gt;= 4.40 ★</w:t>
            </w:r>
          </w:p>
        </w:tc>
        <w:tc>
          <w:tcPr>
            <w:tcW w:type="dxa" w:w="2016"/>
            <w:vAlign w:val="center"/>
            <w:tcMar>
              <w:top w:w="110" w:type="dxa"/>
              <w:bottom w:w="110" w:type="dxa"/>
              <w:left w:w="130" w:type="dxa"/>
              <w:right w:w="130" w:type="dxa"/>
            </w:tcMar>
            <w:shd w:fill="F7FAFC"/>
          </w:tcPr>
          <w:p>
            <w:r>
              <w:rPr>
                <w:rFonts w:ascii="Arial" w:hAnsi="Arial"/>
                <w:color w:val="2D3748"/>
                <w:sz w:val="17"/>
              </w:rPr>
              <w:t>&gt;= 4.25 ★</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