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6E2C" w14:textId="77777777" w:rsidR="00D51D5D" w:rsidRPr="00D51D5D" w:rsidRDefault="00D51D5D" w:rsidP="00D51D5D">
      <w:pPr>
        <w:rPr>
          <w:b/>
          <w:bCs/>
        </w:rPr>
      </w:pPr>
      <w:r w:rsidRPr="00D51D5D">
        <w:rPr>
          <w:b/>
          <w:bCs/>
        </w:rPr>
        <w:t>Document: Global Retail Lending Policy Manual (v2.4)</w:t>
      </w:r>
    </w:p>
    <w:p w14:paraId="259838EC" w14:textId="77777777" w:rsidR="00D51D5D" w:rsidRPr="00D51D5D" w:rsidRDefault="00D51D5D" w:rsidP="00D51D5D">
      <w:r w:rsidRPr="00D51D5D">
        <w:rPr>
          <w:b/>
          <w:bCs/>
        </w:rPr>
        <w:t>Effective Date:</w:t>
      </w:r>
      <w:r w:rsidRPr="00D51D5D">
        <w:t xml:space="preserve"> 2024-02-01 </w:t>
      </w:r>
      <w:r w:rsidRPr="00D51D5D">
        <w:rPr>
          <w:b/>
          <w:bCs/>
        </w:rPr>
        <w:t>Owner:</w:t>
      </w:r>
      <w:r w:rsidRPr="00D51D5D">
        <w:t xml:space="preserve"> Credit Risk Committee </w:t>
      </w:r>
      <w:r w:rsidRPr="00D51D5D">
        <w:rPr>
          <w:b/>
          <w:bCs/>
        </w:rPr>
        <w:t>Classification:</w:t>
      </w:r>
      <w:r w:rsidRPr="00D51D5D">
        <w:t xml:space="preserve"> Internal Use Only</w:t>
      </w:r>
    </w:p>
    <w:p w14:paraId="5BCC6C48" w14:textId="77777777" w:rsidR="00D51D5D" w:rsidRPr="00D51D5D" w:rsidRDefault="00D51D5D" w:rsidP="00D51D5D">
      <w:r w:rsidRPr="00D51D5D">
        <w:pict w14:anchorId="486CC3B9">
          <v:rect id="_x0000_i1031" style="width:0;height:1.5pt" o:hralign="center" o:hrstd="t" o:hr="t" fillcolor="#a0a0a0" stroked="f"/>
        </w:pict>
      </w:r>
    </w:p>
    <w:p w14:paraId="4C62E8FC" w14:textId="77777777" w:rsidR="00D51D5D" w:rsidRPr="00D51D5D" w:rsidRDefault="00D51D5D" w:rsidP="00D51D5D">
      <w:pPr>
        <w:rPr>
          <w:b/>
          <w:bCs/>
        </w:rPr>
      </w:pPr>
      <w:r w:rsidRPr="00D51D5D">
        <w:rPr>
          <w:b/>
          <w:bCs/>
        </w:rPr>
        <w:t>1. Credit Risk Parameters</w:t>
      </w:r>
    </w:p>
    <w:p w14:paraId="0990FBCB" w14:textId="77777777" w:rsidR="00D51D5D" w:rsidRPr="00D51D5D" w:rsidRDefault="00D51D5D" w:rsidP="00D51D5D">
      <w:r w:rsidRPr="00D51D5D">
        <w:rPr>
          <w:b/>
          <w:bCs/>
        </w:rPr>
        <w:t>1.1 Standard Loan-to-Value (LTV) Limits</w:t>
      </w:r>
      <w:r w:rsidRPr="00D51D5D">
        <w:t xml:space="preserve"> To ensure prudent lending practices, the Bank establishes maximum LTV ratios for all retail mortgage products.</w:t>
      </w:r>
    </w:p>
    <w:p w14:paraId="1A1851F9" w14:textId="77777777" w:rsidR="00D51D5D" w:rsidRPr="00D51D5D" w:rsidRDefault="00D51D5D" w:rsidP="00D51D5D">
      <w:pPr>
        <w:numPr>
          <w:ilvl w:val="0"/>
          <w:numId w:val="1"/>
        </w:numPr>
      </w:pPr>
      <w:r w:rsidRPr="00D51D5D">
        <w:rPr>
          <w:b/>
          <w:bCs/>
        </w:rPr>
        <w:t>Policy Rule:</w:t>
      </w:r>
      <w:r w:rsidRPr="00D51D5D">
        <w:t xml:space="preserve"> For standard residential mortgages, the maximum Loan-to-Value (LTV) ratio is capped at </w:t>
      </w:r>
      <w:r w:rsidRPr="00D51D5D">
        <w:rPr>
          <w:b/>
          <w:bCs/>
        </w:rPr>
        <w:t>80%</w:t>
      </w:r>
      <w:r w:rsidRPr="00D51D5D">
        <w:t>. Loans exceeding this amount require explicit approval from the Chief Risk Officer.</w:t>
      </w:r>
    </w:p>
    <w:p w14:paraId="320D6BEA" w14:textId="77777777" w:rsidR="00D51D5D" w:rsidRPr="00D51D5D" w:rsidRDefault="00D51D5D" w:rsidP="00D51D5D">
      <w:r w:rsidRPr="00D51D5D">
        <w:rPr>
          <w:b/>
          <w:bCs/>
        </w:rPr>
        <w:t>1.2 High-Risk Borrower Adjustments</w:t>
      </w:r>
      <w:r w:rsidRPr="00D51D5D">
        <w:t xml:space="preserve"> The Bank defines "High-Risk Borrowers" as individuals with a FICO Credit Score below 600.</w:t>
      </w:r>
    </w:p>
    <w:p w14:paraId="47F1BB29" w14:textId="77777777" w:rsidR="00D51D5D" w:rsidRPr="00D51D5D" w:rsidRDefault="00D51D5D" w:rsidP="00D51D5D">
      <w:pPr>
        <w:numPr>
          <w:ilvl w:val="0"/>
          <w:numId w:val="2"/>
        </w:numPr>
      </w:pPr>
      <w:r w:rsidRPr="00D51D5D">
        <w:rPr>
          <w:b/>
          <w:bCs/>
        </w:rPr>
        <w:t>Policy Rule:</w:t>
      </w:r>
      <w:r w:rsidRPr="00D51D5D">
        <w:t xml:space="preserve"> In order to remain competitive while managing risk, the maximum LTV for High-Risk Borrowers is capped at </w:t>
      </w:r>
      <w:r w:rsidRPr="00D51D5D">
        <w:rPr>
          <w:b/>
          <w:bCs/>
        </w:rPr>
        <w:t>80%</w:t>
      </w:r>
      <w:r w:rsidRPr="00D51D5D">
        <w:t>.</w:t>
      </w:r>
    </w:p>
    <w:p w14:paraId="1FA5F4DB" w14:textId="77777777" w:rsidR="00D51D5D" w:rsidRPr="00D51D5D" w:rsidRDefault="00D51D5D" w:rsidP="00D51D5D">
      <w:pPr>
        <w:numPr>
          <w:ilvl w:val="1"/>
          <w:numId w:val="2"/>
        </w:numPr>
      </w:pPr>
      <w:r w:rsidRPr="00D51D5D">
        <w:rPr>
          <w:i/>
          <w:iCs/>
        </w:rPr>
        <w:t>(Note: This is consistent with our standard cap, as we believe credit score alone should not dictate LTV tighter than the standard).</w:t>
      </w:r>
    </w:p>
    <w:p w14:paraId="3CAF2AAF" w14:textId="77777777" w:rsidR="00D51D5D" w:rsidRPr="00D51D5D" w:rsidRDefault="00D51D5D" w:rsidP="00D51D5D">
      <w:pPr>
        <w:rPr>
          <w:b/>
          <w:bCs/>
        </w:rPr>
      </w:pPr>
      <w:r w:rsidRPr="00D51D5D">
        <w:rPr>
          <w:b/>
          <w:bCs/>
        </w:rPr>
        <w:t>2. Borrower Eligibility &amp; Affordability</w:t>
      </w:r>
    </w:p>
    <w:p w14:paraId="27054D19" w14:textId="77777777" w:rsidR="00D51D5D" w:rsidRPr="00D51D5D" w:rsidRDefault="00D51D5D" w:rsidP="00D51D5D">
      <w:r w:rsidRPr="00D51D5D">
        <w:rPr>
          <w:b/>
          <w:bCs/>
        </w:rPr>
        <w:t>2.1 Identity Verification (KYC)</w:t>
      </w:r>
      <w:r w:rsidRPr="00D51D5D">
        <w:t xml:space="preserve"> The Bank adheres to strict Anti-Money Laundering (AML) standards.</w:t>
      </w:r>
    </w:p>
    <w:p w14:paraId="116B838A" w14:textId="77777777" w:rsidR="00D51D5D" w:rsidRPr="00D51D5D" w:rsidRDefault="00D51D5D" w:rsidP="00D51D5D">
      <w:pPr>
        <w:numPr>
          <w:ilvl w:val="0"/>
          <w:numId w:val="3"/>
        </w:numPr>
      </w:pPr>
      <w:r w:rsidRPr="00D51D5D">
        <w:rPr>
          <w:b/>
          <w:bCs/>
        </w:rPr>
        <w:t>Policy Rule:</w:t>
      </w:r>
      <w:r w:rsidRPr="00D51D5D">
        <w:t xml:space="preserve"> Loan Officers must collect and verify a minimum of </w:t>
      </w:r>
      <w:r w:rsidRPr="00D51D5D">
        <w:rPr>
          <w:b/>
          <w:bCs/>
        </w:rPr>
        <w:t>two (2)</w:t>
      </w:r>
      <w:r w:rsidRPr="00D51D5D">
        <w:t xml:space="preserve"> distinct forms of government-issued identification (e.g., Passport, Driver's License) for every applicant.</w:t>
      </w:r>
    </w:p>
    <w:p w14:paraId="64A1F53C" w14:textId="77777777" w:rsidR="00D51D5D" w:rsidRPr="00D51D5D" w:rsidRDefault="00D51D5D" w:rsidP="00D51D5D">
      <w:r w:rsidRPr="00D51D5D">
        <w:rPr>
          <w:b/>
          <w:bCs/>
        </w:rPr>
        <w:t>2.2 Debt-to-Income (DTI) Ratios</w:t>
      </w:r>
      <w:r w:rsidRPr="00D51D5D">
        <w:t xml:space="preserve"> Affordability is calculated based on Gross Monthly Income.</w:t>
      </w:r>
    </w:p>
    <w:p w14:paraId="3449F02A" w14:textId="77777777" w:rsidR="00D51D5D" w:rsidRPr="00D51D5D" w:rsidRDefault="00D51D5D" w:rsidP="00D51D5D">
      <w:pPr>
        <w:numPr>
          <w:ilvl w:val="0"/>
          <w:numId w:val="4"/>
        </w:numPr>
      </w:pPr>
      <w:r w:rsidRPr="00D51D5D">
        <w:rPr>
          <w:b/>
          <w:bCs/>
        </w:rPr>
        <w:t>Policy Rule:</w:t>
      </w:r>
      <w:r w:rsidRPr="00D51D5D">
        <w:t xml:space="preserve"> The Total Debt-to-Income (DTI) ratio must not exceed </w:t>
      </w:r>
      <w:r w:rsidRPr="00D51D5D">
        <w:rPr>
          <w:b/>
          <w:bCs/>
        </w:rPr>
        <w:t>43%</w:t>
      </w:r>
      <w:r w:rsidRPr="00D51D5D">
        <w:t>. Applicants with DTI above this threshold are automatically declined.</w:t>
      </w:r>
    </w:p>
    <w:p w14:paraId="138F4E48" w14:textId="77777777" w:rsidR="00D51D5D" w:rsidRPr="00D51D5D" w:rsidRDefault="00D51D5D" w:rsidP="00D51D5D">
      <w:pPr>
        <w:rPr>
          <w:b/>
          <w:bCs/>
        </w:rPr>
      </w:pPr>
      <w:r w:rsidRPr="00D51D5D">
        <w:rPr>
          <w:b/>
          <w:bCs/>
        </w:rPr>
        <w:t>3. Collateral Valuation</w:t>
      </w:r>
    </w:p>
    <w:p w14:paraId="7BBADD85" w14:textId="77777777" w:rsidR="00D51D5D" w:rsidRPr="00D51D5D" w:rsidRDefault="00D51D5D" w:rsidP="00D51D5D">
      <w:r w:rsidRPr="00D51D5D">
        <w:rPr>
          <w:b/>
          <w:bCs/>
        </w:rPr>
        <w:t>3.1 Appraisal Requirements</w:t>
      </w:r>
      <w:r w:rsidRPr="00D51D5D">
        <w:t xml:space="preserve"> All properties must undergo a full interior and exterior appraisal by a licensed third-party appraiser.</w:t>
      </w:r>
    </w:p>
    <w:p w14:paraId="2C92EA2A" w14:textId="77777777" w:rsidR="00CA19D2" w:rsidRDefault="00CA19D2"/>
    <w:sectPr w:rsidR="00CA1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17BC"/>
    <w:multiLevelType w:val="multilevel"/>
    <w:tmpl w:val="907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F50D7"/>
    <w:multiLevelType w:val="multilevel"/>
    <w:tmpl w:val="0D70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55B4A"/>
    <w:multiLevelType w:val="multilevel"/>
    <w:tmpl w:val="EFF2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686508"/>
    <w:multiLevelType w:val="multilevel"/>
    <w:tmpl w:val="4C7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509363">
    <w:abstractNumId w:val="1"/>
  </w:num>
  <w:num w:numId="2" w16cid:durableId="1962805809">
    <w:abstractNumId w:val="2"/>
  </w:num>
  <w:num w:numId="3" w16cid:durableId="697510537">
    <w:abstractNumId w:val="0"/>
  </w:num>
  <w:num w:numId="4" w16cid:durableId="2004432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5D"/>
    <w:rsid w:val="0027282A"/>
    <w:rsid w:val="00576848"/>
    <w:rsid w:val="00C16367"/>
    <w:rsid w:val="00CA19D2"/>
    <w:rsid w:val="00D5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3BA5"/>
  <w15:chartTrackingRefBased/>
  <w15:docId w15:val="{7AF6B113-1817-4072-9B64-0A23F62B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Mishra</dc:creator>
  <cp:keywords/>
  <dc:description/>
  <cp:lastModifiedBy>Aditya Mishra</cp:lastModifiedBy>
  <cp:revision>2</cp:revision>
  <dcterms:created xsi:type="dcterms:W3CDTF">2026-01-09T15:29:00Z</dcterms:created>
  <dcterms:modified xsi:type="dcterms:W3CDTF">2026-01-09T15:29:00Z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cfc7eaf8-ce7c-4606-b5ec-e6be88e70d7f</vt:lpwstr>
  </property>
</Properties>
</file>