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 CREDIT POLICY – VERSION 4.2</w:t>
      </w:r>
    </w:p>
    <w:p>
      <w:r>
        <w:t>Section A:</w:t>
        <w:br/>
        <w:t>All retail mortgage loans shall comply with a maximum Loan-to-Value ratio of 75%.</w:t>
      </w:r>
    </w:p>
    <w:p>
      <w:r>
        <w:t>Section B:</w:t>
        <w:br/>
        <w:t>Income verification is mandatory for all mortgage applicants. Applicants must submit documented proof of income.</w:t>
      </w:r>
    </w:p>
    <w:p>
      <w:r>
        <w:t>Section C:</w:t>
        <w:br/>
        <w:t>Exceptions to credit limits may be approved internally by senior credit officers.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