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@theta#5677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April 3rd,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Deco Homework #1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Eutxo, Boxes &amp; Addresses..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/>
      </w:pPr>
      <w:r w:rsidDel="00000000" w:rsidR="00000000" w:rsidRPr="00000000">
        <w:rPr>
          <w:rtl w:val="0"/>
        </w:rPr>
        <w:t xml:space="preserve">Extended unspent transaction output is a variation of the utxo accounting model. In this extended iteration we have the addition of 2 components, script &amp; metadata. Allowing for a greatly expanded realm of possibilities relative to utxo.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/>
      </w:pPr>
      <w:r w:rsidDel="00000000" w:rsidR="00000000" w:rsidRPr="00000000">
        <w:rPr>
          <w:rtl w:val="0"/>
        </w:rPr>
        <w:t xml:space="preserve">Unspent transaction outputs or boxes, are the inputs &amp; outputs in a transaction or a chain of transactions. As a box is spent, new boxes are created.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/>
      </w:pPr>
      <w:r w:rsidDel="00000000" w:rsidR="00000000" w:rsidRPr="00000000">
        <w:rPr>
          <w:rtl w:val="0"/>
        </w:rPr>
        <w:t xml:space="preserve">Addresses consist of a public key &amp; a private key. Your public key acts as your window into the blockchain. While your private key allows you to open that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Theta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