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A9C77" w14:textId="7C872AF8" w:rsidR="00DB26B3" w:rsidRPr="002848CE" w:rsidRDefault="00E67E5E" w:rsidP="00E67E5E">
      <w:pPr>
        <w:pStyle w:val="ListParagraph"/>
        <w:numPr>
          <w:ilvl w:val="0"/>
          <w:numId w:val="8"/>
        </w:numPr>
        <w:jc w:val="both"/>
        <w:rPr>
          <w:rFonts w:cstheme="minorHAnsi"/>
          <w:b/>
          <w:bCs/>
          <w:sz w:val="24"/>
          <w:szCs w:val="24"/>
        </w:rPr>
      </w:pPr>
      <w:r w:rsidRPr="002848CE">
        <w:rPr>
          <w:b/>
          <w:bCs/>
        </w:rPr>
        <w:t xml:space="preserve">(20 points) Do exercise 19.8.8 on page </w:t>
      </w:r>
      <w:proofErr w:type="gramStart"/>
      <w:r w:rsidRPr="002848CE">
        <w:rPr>
          <w:b/>
          <w:bCs/>
        </w:rPr>
        <w:t>475</w:t>
      </w:r>
      <w:proofErr w:type="gramEnd"/>
    </w:p>
    <w:p w14:paraId="26C7C769" w14:textId="45FF296F" w:rsidR="002848CE" w:rsidRPr="002848CE" w:rsidRDefault="00E67E5E" w:rsidP="002848CE">
      <w:pPr>
        <w:pStyle w:val="ListParagraph"/>
        <w:jc w:val="both"/>
        <w:rPr>
          <w:b/>
          <w:bCs/>
        </w:rPr>
      </w:pPr>
      <w:r w:rsidRPr="002848CE">
        <w:rPr>
          <w:b/>
          <w:bCs/>
        </w:rPr>
        <w:t xml:space="preserve">Exercise 19.8.8. </w:t>
      </w:r>
      <w:r w:rsidR="002848CE" w:rsidRPr="002848CE">
        <w:rPr>
          <w:b/>
          <w:bCs/>
        </w:rPr>
        <w:t xml:space="preserve">A study was conducted to examine the association between consumption of caffeinated coffee and nonfatal myocardial infarction among males between the ages of 21 and 54 years. The dataset </w:t>
      </w:r>
      <w:r w:rsidR="002848CE" w:rsidRPr="002848CE">
        <w:rPr>
          <w:b/>
          <w:bCs/>
          <w:i/>
          <w:iCs/>
        </w:rPr>
        <w:t>coffee</w:t>
      </w:r>
      <w:r w:rsidR="002848CE" w:rsidRPr="002848CE">
        <w:rPr>
          <w:b/>
          <w:bCs/>
        </w:rPr>
        <w:t xml:space="preserve"> contains information on a sample of 2496 adult males [292]. A binary variable indicating whether a study participant drinks caffeinated coffee is saved under the variable name </w:t>
      </w:r>
      <w:r w:rsidR="002848CE" w:rsidRPr="002848CE">
        <w:rPr>
          <w:b/>
          <w:bCs/>
          <w:i/>
          <w:iCs/>
        </w:rPr>
        <w:t>coffee</w:t>
      </w:r>
      <w:r w:rsidR="002848CE" w:rsidRPr="002848CE">
        <w:rPr>
          <w:b/>
          <w:bCs/>
        </w:rPr>
        <w:t xml:space="preserve">, with the value 1 indicating that he does drink coffee and 0 that he does not. The response occurrence of myocardial infarction is saved under the name </w:t>
      </w:r>
      <w:r w:rsidR="002848CE" w:rsidRPr="002848CE">
        <w:rPr>
          <w:b/>
          <w:bCs/>
          <w:i/>
          <w:iCs/>
        </w:rPr>
        <w:t>mi</w:t>
      </w:r>
      <w:r w:rsidR="002848CE" w:rsidRPr="002848CE">
        <w:rPr>
          <w:b/>
          <w:bCs/>
        </w:rPr>
        <w:t>, with 1 indicating that this event did occur and 0 that it did not.</w:t>
      </w:r>
    </w:p>
    <w:p w14:paraId="1C4257AE" w14:textId="10803DFB" w:rsidR="002848CE" w:rsidRPr="002848CE" w:rsidRDefault="002848CE" w:rsidP="002848CE">
      <w:pPr>
        <w:pStyle w:val="ListParagraph"/>
        <w:jc w:val="both"/>
        <w:rPr>
          <w:b/>
          <w:bCs/>
          <w:i/>
        </w:rPr>
      </w:pPr>
      <m:oMathPara>
        <m:oMath>
          <m:r>
            <m:rPr>
              <m:sty m:val="bi"/>
            </m:rPr>
            <w:rPr>
              <w:rFonts w:ascii="Cambria Math" w:hAnsi="Cambria Math"/>
            </w:rPr>
            <m:t>In</m:t>
          </m:r>
          <m:d>
            <m:dPr>
              <m:ctrlPr>
                <w:rPr>
                  <w:rFonts w:ascii="Cambria Math" w:hAnsi="Cambria Math"/>
                  <w:b/>
                  <w:bCs/>
                  <w:i/>
                </w:rPr>
              </m:ctrlPr>
            </m:dPr>
            <m:e>
              <m:f>
                <m:fPr>
                  <m:ctrlPr>
                    <w:rPr>
                      <w:rFonts w:ascii="Cambria Math" w:hAnsi="Cambria Math"/>
                      <w:b/>
                      <w:bCs/>
                      <w:i/>
                    </w:rPr>
                  </m:ctrlPr>
                </m:fPr>
                <m:num>
                  <m:acc>
                    <m:accPr>
                      <m:ctrlPr>
                        <w:rPr>
                          <w:rFonts w:ascii="Cambria Math" w:hAnsi="Cambria Math"/>
                          <w:b/>
                          <w:bCs/>
                          <w:i/>
                        </w:rPr>
                      </m:ctrlPr>
                    </m:accPr>
                    <m:e>
                      <m:r>
                        <m:rPr>
                          <m:sty m:val="bi"/>
                        </m:rPr>
                        <w:rPr>
                          <w:rFonts w:ascii="Cambria Math" w:hAnsi="Cambria Math"/>
                        </w:rPr>
                        <m:t>p</m:t>
                      </m:r>
                    </m:e>
                  </m:acc>
                </m:num>
                <m:den>
                  <m:r>
                    <m:rPr>
                      <m:sty m:val="bi"/>
                    </m:rPr>
                    <w:rPr>
                      <w:rFonts w:ascii="Cambria Math" w:hAnsi="Cambria Math"/>
                    </w:rPr>
                    <m:t xml:space="preserve">1 - </m:t>
                  </m:r>
                  <m:acc>
                    <m:accPr>
                      <m:ctrlPr>
                        <w:rPr>
                          <w:rFonts w:ascii="Cambria Math" w:hAnsi="Cambria Math"/>
                          <w:b/>
                          <w:bCs/>
                          <w:i/>
                        </w:rPr>
                      </m:ctrlPr>
                    </m:accPr>
                    <m:e>
                      <m:r>
                        <m:rPr>
                          <m:sty m:val="bi"/>
                        </m:rPr>
                        <w:rPr>
                          <w:rFonts w:ascii="Cambria Math" w:hAnsi="Cambria Math"/>
                        </w:rPr>
                        <m:t>p</m:t>
                      </m:r>
                    </m:e>
                  </m:acc>
                </m:den>
              </m:f>
            </m:e>
          </m:d>
          <m:r>
            <m:rPr>
              <m:sty m:val="bi"/>
            </m:rPr>
            <w:rPr>
              <w:rFonts w:ascii="Cambria Math" w:hAnsi="Cambria Math"/>
            </w:rPr>
            <m:t xml:space="preserve"> =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0</m:t>
                  </m:r>
                </m:sub>
              </m:sSub>
            </m:e>
          </m:acc>
          <m:r>
            <m:rPr>
              <m:sty m:val="bi"/>
            </m:rPr>
            <w:rPr>
              <w:rFonts w:ascii="Cambria Math" w:hAnsi="Cambria Math"/>
            </w:rPr>
            <m:t xml:space="preserve"> + </m:t>
          </m:r>
          <m:acc>
            <m:accPr>
              <m:ctrlPr>
                <w:rPr>
                  <w:rFonts w:ascii="Cambria Math" w:hAnsi="Cambria Math"/>
                  <w:b/>
                  <w:bCs/>
                  <w:i/>
                </w:rPr>
              </m:ctrlPr>
            </m:accPr>
            <m:e>
              <m:sSub>
                <m:sSubPr>
                  <m:ctrlPr>
                    <w:rPr>
                      <w:rFonts w:ascii="Cambria Math" w:hAnsi="Cambria Math"/>
                      <w:b/>
                      <w:bCs/>
                      <w:i/>
                    </w:rPr>
                  </m:ctrlPr>
                </m:sSubPr>
                <m:e>
                  <m:r>
                    <m:rPr>
                      <m:sty m:val="bi"/>
                    </m:rPr>
                    <w:rPr>
                      <w:rFonts w:ascii="Cambria Math" w:hAnsi="Cambria Math"/>
                    </w:rPr>
                    <m:t>β</m:t>
                  </m:r>
                </m:e>
                <m:sub>
                  <m:r>
                    <m:rPr>
                      <m:sty m:val="bi"/>
                    </m:rPr>
                    <w:rPr>
                      <w:rFonts w:ascii="Cambria Math" w:hAnsi="Cambria Math"/>
                    </w:rPr>
                    <m:t>1</m:t>
                  </m:r>
                </m:sub>
              </m:sSub>
            </m:e>
          </m:acc>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p w14:paraId="4D1D8CAB" w14:textId="40E9E588" w:rsidR="002848CE" w:rsidRPr="002848CE" w:rsidRDefault="002848CE" w:rsidP="002848CE">
      <w:pPr>
        <w:pStyle w:val="ListParagraph"/>
        <w:jc w:val="both"/>
        <w:rPr>
          <w:b/>
          <w:bCs/>
        </w:rPr>
      </w:pPr>
      <w:r w:rsidRPr="002848CE">
        <w:rPr>
          <w:b/>
          <w:bCs/>
        </w:rPr>
        <w:t>(a) Fit a logistic regression model of the form where the response is occurrence of myocardial infarction, and x represents coffee consumption. Interpret the odds ratio of myocardial infarction for males who drink caffeinated coffee versus those who do not.</w:t>
      </w:r>
    </w:p>
    <w:p w14:paraId="26B1D8FA" w14:textId="58D25576" w:rsidR="002848CE" w:rsidRPr="002848CE" w:rsidRDefault="002848CE" w:rsidP="002848CE">
      <w:pPr>
        <w:pStyle w:val="ListParagraph"/>
        <w:jc w:val="both"/>
        <w:rPr>
          <w:b/>
          <w:bCs/>
        </w:rPr>
      </w:pPr>
      <w:r w:rsidRPr="002848CE">
        <w:rPr>
          <w:b/>
          <w:bCs/>
        </w:rPr>
        <w:t>(b) Suppose you are concerned that smoking status is a confounder in the relationship between coffee consumption and myocardial infarction. The variable smoke takes the value 1 if a male is a self-reported smoker and 0 otherwise. Fit separate logistic regression models for smokers and nonsmokers. Within each subgroup, interpret the</w:t>
      </w:r>
      <w:r w:rsidRPr="002848CE">
        <w:rPr>
          <w:b/>
          <w:bCs/>
        </w:rPr>
        <w:t xml:space="preserve"> </w:t>
      </w:r>
      <w:r w:rsidRPr="002848CE">
        <w:rPr>
          <w:b/>
          <w:bCs/>
        </w:rPr>
        <w:t>odds ratio of myocardial infarction for males who drink coffee versus those who do not.</w:t>
      </w:r>
    </w:p>
    <w:p w14:paraId="473D3189" w14:textId="651A58DF" w:rsidR="002848CE" w:rsidRPr="002848CE" w:rsidRDefault="002848CE" w:rsidP="002848CE">
      <w:pPr>
        <w:pStyle w:val="ListParagraph"/>
        <w:jc w:val="both"/>
        <w:rPr>
          <w:b/>
          <w:bCs/>
        </w:rPr>
      </w:pPr>
      <w:r w:rsidRPr="002848CE">
        <w:rPr>
          <w:b/>
          <w:bCs/>
        </w:rPr>
        <w:t>(c) Using the entire sample, fit a logistic regression model to examine the relationship between coffee consumption and the occurrence of myocardial infarction, adjusting for smoking status. Interpret the odds ratio associated with coffee consumption.</w:t>
      </w:r>
    </w:p>
    <w:p w14:paraId="1780D5B9" w14:textId="6F3A47CA" w:rsidR="002848CE" w:rsidRPr="002848CE" w:rsidRDefault="002848CE" w:rsidP="002848CE">
      <w:pPr>
        <w:pStyle w:val="ListParagraph"/>
        <w:jc w:val="both"/>
        <w:rPr>
          <w:b/>
          <w:bCs/>
        </w:rPr>
      </w:pPr>
      <w:r w:rsidRPr="002848CE">
        <w:rPr>
          <w:b/>
          <w:bCs/>
        </w:rPr>
        <w:t>(d) At the 0.05 level of significance, test the null hypothesis that the odds ratio associated with coffee consumption is equal to 1. What do you conclude?</w:t>
      </w:r>
    </w:p>
    <w:p w14:paraId="014E7228" w14:textId="4493E19D" w:rsidR="00E67E5E" w:rsidRPr="002848CE" w:rsidRDefault="002848CE" w:rsidP="002848CE">
      <w:pPr>
        <w:pStyle w:val="ListParagraph"/>
        <w:jc w:val="both"/>
        <w:rPr>
          <w:b/>
          <w:bCs/>
        </w:rPr>
      </w:pPr>
      <w:r w:rsidRPr="002848CE">
        <w:rPr>
          <w:b/>
          <w:bCs/>
        </w:rPr>
        <w:t>(e) Construct a 95% confidence interval for the odds ratio of occurrence of myocardial infarction for coffee drinkers versus nondrinkers, adjusting for smoking status.</w:t>
      </w:r>
    </w:p>
    <w:p w14:paraId="4185A8AC" w14:textId="531B5923" w:rsidR="002848CE" w:rsidRPr="002848CE" w:rsidRDefault="002848CE" w:rsidP="002848CE">
      <w:pPr>
        <w:pStyle w:val="ListParagraph"/>
        <w:ind w:left="0"/>
        <w:jc w:val="both"/>
        <w:rPr>
          <w:b/>
          <w:bCs/>
        </w:rPr>
      </w:pPr>
      <w:r w:rsidRPr="002848CE">
        <w:rPr>
          <w:b/>
          <w:bCs/>
        </w:rPr>
        <w:t>Solution:</w:t>
      </w:r>
    </w:p>
    <w:p w14:paraId="185BAA49" w14:textId="77777777" w:rsidR="00D310CF" w:rsidRDefault="00D310CF" w:rsidP="002848CE">
      <w:pPr>
        <w:pStyle w:val="ListParagraph"/>
        <w:numPr>
          <w:ilvl w:val="0"/>
          <w:numId w:val="9"/>
        </w:numPr>
        <w:jc w:val="both"/>
      </w:pPr>
    </w:p>
    <w:p w14:paraId="771CA1A5" w14:textId="1E9C5C2B" w:rsidR="002848CE" w:rsidRDefault="00D310CF" w:rsidP="00D310CF">
      <w:pPr>
        <w:pStyle w:val="ListParagraph"/>
        <w:jc w:val="both"/>
      </w:pPr>
      <w:r w:rsidRPr="00D310CF">
        <w:drawing>
          <wp:inline distT="0" distB="0" distL="0" distR="0" wp14:anchorId="6F88AA6C" wp14:editId="2C69718C">
            <wp:extent cx="3924886" cy="31872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924886" cy="3187293"/>
                    </a:xfrm>
                    <a:prstGeom prst="rect">
                      <a:avLst/>
                    </a:prstGeom>
                  </pic:spPr>
                </pic:pic>
              </a:graphicData>
            </a:graphic>
          </wp:inline>
        </w:drawing>
      </w:r>
    </w:p>
    <w:p w14:paraId="7DC5CE6D" w14:textId="73E7D8DB" w:rsidR="00D310CF" w:rsidRDefault="00D310CF" w:rsidP="00D310CF">
      <w:pPr>
        <w:pStyle w:val="ListParagraph"/>
        <w:jc w:val="both"/>
      </w:pPr>
      <w:r w:rsidRPr="00D310CF">
        <w:lastRenderedPageBreak/>
        <w:t xml:space="preserve">From the model summary, we can see that the coefficient for coffee consumption is </w:t>
      </w:r>
      <w:r>
        <w:t>0.9211</w:t>
      </w:r>
      <w:r w:rsidRPr="00D310CF">
        <w:t xml:space="preserve">, which means that coffee consumption is </w:t>
      </w:r>
      <w:r>
        <w:t>posi</w:t>
      </w:r>
      <w:r w:rsidRPr="00D310CF">
        <w:t xml:space="preserve">tively associated with the occurrence of myocardial infarction. The odds ratio for coffee consumption is </w:t>
      </w:r>
      <w:proofErr w:type="gramStart"/>
      <w:r w:rsidRPr="00D310CF">
        <w:t>exp(</w:t>
      </w:r>
      <w:proofErr w:type="gramEnd"/>
      <w:r>
        <w:t>0.9211</w:t>
      </w:r>
      <w:r w:rsidRPr="00D310CF">
        <w:t xml:space="preserve">) = </w:t>
      </w:r>
      <w:r>
        <w:t>2.512052</w:t>
      </w:r>
      <w:r w:rsidRPr="00D310CF">
        <w:t xml:space="preserve">, which means that the odds of myocardial infarction are </w:t>
      </w:r>
      <w:r w:rsidR="0085690D">
        <w:t>2.512052</w:t>
      </w:r>
      <w:r w:rsidRPr="00D310CF">
        <w:t xml:space="preserve"> times </w:t>
      </w:r>
      <w:r w:rsidR="0085690D">
        <w:t>greater</w:t>
      </w:r>
      <w:r w:rsidRPr="00D310CF">
        <w:t xml:space="preserve"> for males who drink caffeinated coffee compared to those who do not.</w:t>
      </w:r>
    </w:p>
    <w:p w14:paraId="1C4144FC" w14:textId="77777777" w:rsidR="0085690D" w:rsidRDefault="0085690D" w:rsidP="00D310CF">
      <w:pPr>
        <w:pStyle w:val="ListParagraph"/>
        <w:jc w:val="both"/>
      </w:pPr>
    </w:p>
    <w:p w14:paraId="24EF8811" w14:textId="44749065" w:rsidR="00D310CF" w:rsidRDefault="00D310CF" w:rsidP="0085690D">
      <w:pPr>
        <w:pStyle w:val="ListParagraph"/>
        <w:numPr>
          <w:ilvl w:val="0"/>
          <w:numId w:val="9"/>
        </w:numPr>
        <w:jc w:val="both"/>
      </w:pPr>
    </w:p>
    <w:p w14:paraId="3AFF868F" w14:textId="4BB0B389" w:rsidR="00D310CF" w:rsidRDefault="0085690D" w:rsidP="00D310CF">
      <w:pPr>
        <w:pStyle w:val="ListParagraph"/>
        <w:jc w:val="both"/>
      </w:pPr>
      <w:r w:rsidRPr="0085690D">
        <w:drawing>
          <wp:inline distT="0" distB="0" distL="0" distR="0" wp14:anchorId="54E47E56" wp14:editId="58987311">
            <wp:extent cx="5943600" cy="34842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943600" cy="3484245"/>
                    </a:xfrm>
                    <a:prstGeom prst="rect">
                      <a:avLst/>
                    </a:prstGeom>
                  </pic:spPr>
                </pic:pic>
              </a:graphicData>
            </a:graphic>
          </wp:inline>
        </w:drawing>
      </w:r>
    </w:p>
    <w:p w14:paraId="082C422A" w14:textId="65B52D46" w:rsidR="00D310CF" w:rsidRDefault="0085690D" w:rsidP="00D310CF">
      <w:pPr>
        <w:pStyle w:val="ListParagraph"/>
        <w:jc w:val="both"/>
      </w:pPr>
      <w:r w:rsidRPr="0085690D">
        <w:drawing>
          <wp:inline distT="0" distB="0" distL="0" distR="0" wp14:anchorId="7296D5CE" wp14:editId="5871DFC9">
            <wp:extent cx="5943600" cy="31616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161665"/>
                    </a:xfrm>
                    <a:prstGeom prst="rect">
                      <a:avLst/>
                    </a:prstGeom>
                  </pic:spPr>
                </pic:pic>
              </a:graphicData>
            </a:graphic>
          </wp:inline>
        </w:drawing>
      </w:r>
    </w:p>
    <w:p w14:paraId="21ADAC46" w14:textId="77777777" w:rsidR="0085690D" w:rsidRDefault="0085690D" w:rsidP="00D310CF">
      <w:pPr>
        <w:pStyle w:val="ListParagraph"/>
        <w:jc w:val="both"/>
      </w:pPr>
    </w:p>
    <w:p w14:paraId="5AB0E1C2" w14:textId="185507F3" w:rsidR="0085690D" w:rsidRDefault="0085690D" w:rsidP="00AC3592">
      <w:pPr>
        <w:pStyle w:val="ListParagraph"/>
        <w:jc w:val="both"/>
      </w:pPr>
      <w:r w:rsidRPr="0085690D">
        <w:lastRenderedPageBreak/>
        <w:t xml:space="preserve">From the model summaries, we can see that in both the smoker and nonsmoker subgroups, the coefficient for coffee consumption is </w:t>
      </w:r>
      <w:r>
        <w:t>posi</w:t>
      </w:r>
      <w:r w:rsidRPr="0085690D">
        <w:t xml:space="preserve">tive, indicating a </w:t>
      </w:r>
      <w:r>
        <w:t>posi</w:t>
      </w:r>
      <w:r w:rsidRPr="0085690D">
        <w:t xml:space="preserve">tive association between coffee consumption and the occurrence of myocardial infarction. The odds ratios are </w:t>
      </w:r>
      <w:proofErr w:type="gramStart"/>
      <w:r w:rsidRPr="0085690D">
        <w:t>exp(</w:t>
      </w:r>
      <w:proofErr w:type="gramEnd"/>
      <w:r>
        <w:t>0.902</w:t>
      </w:r>
      <w:r w:rsidRPr="0085690D">
        <w:t xml:space="preserve">) = </w:t>
      </w:r>
      <w:r>
        <w:t>2.464</w:t>
      </w:r>
      <w:r w:rsidRPr="0085690D">
        <w:t xml:space="preserve"> for smokers and exp(</w:t>
      </w:r>
      <w:r>
        <w:t>0.671</w:t>
      </w:r>
      <w:r w:rsidRPr="0085690D">
        <w:t xml:space="preserve">) = </w:t>
      </w:r>
      <w:r>
        <w:t>1.956</w:t>
      </w:r>
      <w:r w:rsidRPr="0085690D">
        <w:t xml:space="preserve"> for nonsmokers. This means that the odds of myocardial infarction are </w:t>
      </w:r>
      <w:r>
        <w:t>higher</w:t>
      </w:r>
      <w:r w:rsidRPr="0085690D">
        <w:t xml:space="preserve"> for coffee drinkers in both subgroups, but the effect size is larger for smokers than for nonsmokers.</w:t>
      </w:r>
    </w:p>
    <w:p w14:paraId="3E8A86CF" w14:textId="77777777" w:rsidR="00AC3592" w:rsidRDefault="00AC3592" w:rsidP="00AC3592">
      <w:pPr>
        <w:pStyle w:val="ListParagraph"/>
        <w:numPr>
          <w:ilvl w:val="0"/>
          <w:numId w:val="9"/>
        </w:numPr>
        <w:jc w:val="both"/>
      </w:pPr>
    </w:p>
    <w:p w14:paraId="600EC7DA" w14:textId="06748121" w:rsidR="00AC3592" w:rsidRDefault="00AC3592" w:rsidP="00AC3592">
      <w:pPr>
        <w:pStyle w:val="ListParagraph"/>
        <w:jc w:val="both"/>
      </w:pPr>
      <w:r w:rsidRPr="00AC3592">
        <w:drawing>
          <wp:inline distT="0" distB="0" distL="0" distR="0" wp14:anchorId="026FB8E1" wp14:editId="682249C2">
            <wp:extent cx="5943600" cy="42494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4249420"/>
                    </a:xfrm>
                    <a:prstGeom prst="rect">
                      <a:avLst/>
                    </a:prstGeom>
                  </pic:spPr>
                </pic:pic>
              </a:graphicData>
            </a:graphic>
          </wp:inline>
        </w:drawing>
      </w:r>
    </w:p>
    <w:p w14:paraId="5EC00388" w14:textId="1CCD9589" w:rsidR="00AC3592" w:rsidRDefault="00AC3592" w:rsidP="00AC3592">
      <w:pPr>
        <w:pStyle w:val="ListParagraph"/>
        <w:jc w:val="both"/>
      </w:pPr>
      <w:r w:rsidRPr="00AC3592">
        <w:t xml:space="preserve">From the model summary, we can see that the coefficient for coffee consumption is still </w:t>
      </w:r>
      <w:r>
        <w:t>positive</w:t>
      </w:r>
      <w:r w:rsidRPr="00AC3592">
        <w:t xml:space="preserve">, indicating a </w:t>
      </w:r>
      <w:r>
        <w:t>posit</w:t>
      </w:r>
      <w:r w:rsidRPr="00AC3592">
        <w:t xml:space="preserve">ive association between coffee consumption and the occurrence of myocardial infarction, after adjusting for smoking status. The odds ratio for coffee consumption is </w:t>
      </w:r>
      <w:proofErr w:type="gramStart"/>
      <w:r w:rsidRPr="00AC3592">
        <w:t>exp(</w:t>
      </w:r>
      <w:proofErr w:type="gramEnd"/>
      <w:r w:rsidRPr="00AC3592">
        <w:t>-0.</w:t>
      </w:r>
      <w:r>
        <w:t>7864</w:t>
      </w:r>
      <w:r w:rsidRPr="00AC3592">
        <w:t xml:space="preserve">) = </w:t>
      </w:r>
      <w:r>
        <w:t>2.1955</w:t>
      </w:r>
      <w:r w:rsidRPr="00AC3592">
        <w:t xml:space="preserve">, which means that the odds of myocardial infarction are </w:t>
      </w:r>
      <w:r>
        <w:t>2.1955</w:t>
      </w:r>
      <w:r w:rsidRPr="00AC3592">
        <w:t xml:space="preserve"> times </w:t>
      </w:r>
      <w:r>
        <w:t xml:space="preserve">higher </w:t>
      </w:r>
      <w:r w:rsidRPr="00AC3592">
        <w:t>for males who drink caffeinated coffee compared to those who do not, after adjusting for smoking status.</w:t>
      </w:r>
    </w:p>
    <w:p w14:paraId="7814E1B9" w14:textId="28027640" w:rsidR="00AC3592" w:rsidRDefault="00AC3592" w:rsidP="00AC3592">
      <w:pPr>
        <w:pStyle w:val="ListParagraph"/>
        <w:numPr>
          <w:ilvl w:val="0"/>
          <w:numId w:val="9"/>
        </w:numPr>
        <w:jc w:val="both"/>
      </w:pPr>
    </w:p>
    <w:p w14:paraId="0F448992" w14:textId="7F962A30" w:rsidR="00AC3592" w:rsidRPr="00AC3592" w:rsidRDefault="00AC3592" w:rsidP="00AC3592">
      <w:pPr>
        <w:pStyle w:val="ListParagraph"/>
        <w:jc w:val="center"/>
        <w:rPr>
          <w:i/>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Odds Ratio for Coffee consumption = 1</m:t>
          </m:r>
        </m:oMath>
      </m:oMathPara>
    </w:p>
    <w:p w14:paraId="796F41FA" w14:textId="230AD140" w:rsidR="00AC3592" w:rsidRPr="00AC3592" w:rsidRDefault="00AC3592" w:rsidP="00AC3592">
      <w:pPr>
        <w:pStyle w:val="ListParagraph"/>
        <w:jc w:val="both"/>
        <w:rPr>
          <w:i/>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Odds Ratio for Coffee consumption ≠ 1</m:t>
          </m:r>
        </m:oMath>
      </m:oMathPara>
    </w:p>
    <w:p w14:paraId="5E3A2C7E" w14:textId="77777777" w:rsidR="00AC3592" w:rsidRDefault="00AC3592" w:rsidP="00AC3592">
      <w:pPr>
        <w:pStyle w:val="ListParagraph"/>
        <w:jc w:val="both"/>
      </w:pPr>
    </w:p>
    <w:p w14:paraId="4FED0666" w14:textId="783A5B32" w:rsidR="002848CE" w:rsidRDefault="00351C43" w:rsidP="00AC3592">
      <w:pPr>
        <w:pStyle w:val="ListParagraph"/>
        <w:jc w:val="both"/>
      </w:pPr>
      <w:r w:rsidRPr="00351C43">
        <w:lastRenderedPageBreak/>
        <w:drawing>
          <wp:inline distT="0" distB="0" distL="0" distR="0" wp14:anchorId="71C98678" wp14:editId="29AB1701">
            <wp:extent cx="4994031" cy="305084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996141" cy="3052130"/>
                    </a:xfrm>
                    <a:prstGeom prst="rect">
                      <a:avLst/>
                    </a:prstGeom>
                  </pic:spPr>
                </pic:pic>
              </a:graphicData>
            </a:graphic>
          </wp:inline>
        </w:drawing>
      </w:r>
    </w:p>
    <w:p w14:paraId="65BB1E19" w14:textId="77777777" w:rsidR="00AC3592" w:rsidRDefault="00AC3592" w:rsidP="00AC3592">
      <w:pPr>
        <w:pStyle w:val="ListParagraph"/>
        <w:jc w:val="both"/>
      </w:pPr>
    </w:p>
    <w:p w14:paraId="1D33BA02" w14:textId="24FBE41A" w:rsidR="00351C43" w:rsidRDefault="00351C43" w:rsidP="00351C43">
      <w:pPr>
        <w:pStyle w:val="ListParagraph"/>
        <w:jc w:val="both"/>
      </w:pPr>
      <w:r w:rsidRPr="00351C43">
        <w:t xml:space="preserve">The coefficient estimate for coffee is </w:t>
      </w:r>
      <w:r>
        <w:t>0.9211</w:t>
      </w:r>
      <w:r w:rsidRPr="00351C43">
        <w:t>, indicating that coffee consumption is associated with a</w:t>
      </w:r>
      <w:r>
        <w:t>n</w:t>
      </w:r>
      <w:r w:rsidRPr="00351C43">
        <w:t xml:space="preserve"> </w:t>
      </w:r>
      <w:r>
        <w:t>in</w:t>
      </w:r>
      <w:r w:rsidRPr="00351C43">
        <w:t xml:space="preserve">crease in the odds of myocardial infarction. The z-statistic for the hypothesis test of odds ratio = 1 is </w:t>
      </w:r>
      <w:r>
        <w:t>7.828</w:t>
      </w:r>
      <w:r w:rsidRPr="00351C43">
        <w:t xml:space="preserve">, and the corresponding p-value is </w:t>
      </w:r>
      <w:r>
        <w:t>4.95e-15</w:t>
      </w:r>
      <w:r w:rsidRPr="00351C43">
        <w:t>. Since the p-value is less than the significance level of 0.05, we reject the null hypothesis and conclude that there is evidence of a significant association between coffee consumption and the odds of myocardial infarction.</w:t>
      </w:r>
    </w:p>
    <w:p w14:paraId="08CC72C4" w14:textId="3F10B3ED" w:rsidR="00351C43" w:rsidRDefault="00351C43" w:rsidP="00351C43">
      <w:pPr>
        <w:pStyle w:val="ListParagraph"/>
        <w:numPr>
          <w:ilvl w:val="0"/>
          <w:numId w:val="9"/>
        </w:numPr>
        <w:jc w:val="both"/>
      </w:pPr>
    </w:p>
    <w:p w14:paraId="18F03588" w14:textId="7110FA9E" w:rsidR="00351C43" w:rsidRDefault="00351C43" w:rsidP="00351C43">
      <w:pPr>
        <w:pStyle w:val="ListParagraph"/>
        <w:jc w:val="both"/>
      </w:pPr>
      <w:r>
        <w:rPr>
          <w:noProof/>
        </w:rPr>
        <w:drawing>
          <wp:inline distT="0" distB="0" distL="0" distR="0" wp14:anchorId="0B08522C" wp14:editId="02CC421D">
            <wp:extent cx="3329940" cy="13106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9940" cy="1310640"/>
                    </a:xfrm>
                    <a:prstGeom prst="rect">
                      <a:avLst/>
                    </a:prstGeom>
                    <a:noFill/>
                  </pic:spPr>
                </pic:pic>
              </a:graphicData>
            </a:graphic>
          </wp:inline>
        </w:drawing>
      </w:r>
    </w:p>
    <w:p w14:paraId="216F1192" w14:textId="50CAE2F2" w:rsidR="00351C43" w:rsidRPr="00AC3592" w:rsidRDefault="00351C43" w:rsidP="00351C43">
      <w:pPr>
        <w:pStyle w:val="ListParagraph"/>
        <w:jc w:val="both"/>
      </w:pPr>
      <w:r w:rsidRPr="00351C43">
        <w:t>The 95% confidence interval for the odds ratio of coffee drinkers versus nondrinkers is [0.5</w:t>
      </w:r>
      <w:r w:rsidR="00C013E8">
        <w:t>5</w:t>
      </w:r>
      <w:r w:rsidRPr="00351C43">
        <w:t xml:space="preserve">, </w:t>
      </w:r>
      <w:r w:rsidR="00C013E8">
        <w:t>1.02</w:t>
      </w:r>
      <w:r w:rsidRPr="00351C43">
        <w:t>], adjusting for smoking status. This indicates that, holding smoking status constant, coffee drinkers have lower odds of myocardial infarction than nondrinkers, and the true odds ratio is likely to be within this interval with 95% confidence.</w:t>
      </w:r>
    </w:p>
    <w:sectPr w:rsidR="00351C43" w:rsidRPr="00AC359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E063" w14:textId="77777777" w:rsidR="00B05A89" w:rsidRDefault="00B05A89" w:rsidP="0061488F">
      <w:pPr>
        <w:spacing w:after="0" w:line="240" w:lineRule="auto"/>
      </w:pPr>
      <w:r>
        <w:separator/>
      </w:r>
    </w:p>
  </w:endnote>
  <w:endnote w:type="continuationSeparator" w:id="0">
    <w:p w14:paraId="14FF66C3" w14:textId="77777777" w:rsidR="00B05A89" w:rsidRDefault="00B05A89" w:rsidP="0061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7014165"/>
      <w:docPartObj>
        <w:docPartGallery w:val="Page Numbers (Bottom of Page)"/>
        <w:docPartUnique/>
      </w:docPartObj>
    </w:sdtPr>
    <w:sdtEndPr>
      <w:rPr>
        <w:color w:val="7F7F7F" w:themeColor="background1" w:themeShade="7F"/>
        <w:spacing w:val="60"/>
      </w:rPr>
    </w:sdtEndPr>
    <w:sdtContent>
      <w:p w14:paraId="193DC3D2" w14:textId="5B11AEB3" w:rsidR="0061488F" w:rsidRDefault="0061488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F440EDC" w14:textId="77777777" w:rsidR="0061488F" w:rsidRDefault="006148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5599B" w14:textId="77777777" w:rsidR="00B05A89" w:rsidRDefault="00B05A89" w:rsidP="0061488F">
      <w:pPr>
        <w:spacing w:after="0" w:line="240" w:lineRule="auto"/>
      </w:pPr>
      <w:r>
        <w:separator/>
      </w:r>
    </w:p>
  </w:footnote>
  <w:footnote w:type="continuationSeparator" w:id="0">
    <w:p w14:paraId="283F8B57" w14:textId="77777777" w:rsidR="00B05A89" w:rsidRDefault="00B05A89" w:rsidP="0061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73AF" w14:textId="501451B5" w:rsidR="0061488F" w:rsidRDefault="0061488F">
    <w:pPr>
      <w:pStyle w:val="Header"/>
    </w:pPr>
    <w:r>
      <w:t>MATH7343</w:t>
    </w:r>
    <w:r>
      <w:ptab w:relativeTo="margin" w:alignment="center" w:leader="none"/>
    </w:r>
    <w:r>
      <w:t xml:space="preserve">Homework </w:t>
    </w:r>
    <w:r w:rsidR="00E67E5E">
      <w:t>10</w:t>
    </w:r>
    <w:r>
      <w:ptab w:relativeTo="margin" w:alignment="right" w:leader="none"/>
    </w:r>
    <w: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1F47"/>
    <w:multiLevelType w:val="hybridMultilevel"/>
    <w:tmpl w:val="923EF8D6"/>
    <w:lvl w:ilvl="0" w:tplc="4FB654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D03BA"/>
    <w:multiLevelType w:val="hybridMultilevel"/>
    <w:tmpl w:val="1C00B2EE"/>
    <w:lvl w:ilvl="0" w:tplc="AE0A4F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25EF7"/>
    <w:multiLevelType w:val="hybridMultilevel"/>
    <w:tmpl w:val="EC143E6E"/>
    <w:lvl w:ilvl="0" w:tplc="6D12DA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F2906"/>
    <w:multiLevelType w:val="hybridMultilevel"/>
    <w:tmpl w:val="9F1CA2B8"/>
    <w:lvl w:ilvl="0" w:tplc="4DE01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232BFA"/>
    <w:multiLevelType w:val="hybridMultilevel"/>
    <w:tmpl w:val="32460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A1023"/>
    <w:multiLevelType w:val="hybridMultilevel"/>
    <w:tmpl w:val="2B085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A16CE7"/>
    <w:multiLevelType w:val="hybridMultilevel"/>
    <w:tmpl w:val="C356558C"/>
    <w:lvl w:ilvl="0" w:tplc="FCF26D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90315E"/>
    <w:multiLevelType w:val="hybridMultilevel"/>
    <w:tmpl w:val="672C730C"/>
    <w:lvl w:ilvl="0" w:tplc="29E8EE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899666"/>
    <w:multiLevelType w:val="hybridMultilevel"/>
    <w:tmpl w:val="62C82542"/>
    <w:lvl w:ilvl="0" w:tplc="C196188E">
      <w:start w:val="1"/>
      <w:numFmt w:val="decimal"/>
      <w:lvlText w:val="%1."/>
      <w:lvlJc w:val="left"/>
      <w:pPr>
        <w:ind w:left="720" w:hanging="360"/>
      </w:pPr>
    </w:lvl>
    <w:lvl w:ilvl="1" w:tplc="41C0C262">
      <w:start w:val="1"/>
      <w:numFmt w:val="lowerLetter"/>
      <w:lvlText w:val="%2."/>
      <w:lvlJc w:val="left"/>
      <w:pPr>
        <w:ind w:left="1440" w:hanging="360"/>
      </w:pPr>
    </w:lvl>
    <w:lvl w:ilvl="2" w:tplc="ABC8B806">
      <w:start w:val="1"/>
      <w:numFmt w:val="lowerRoman"/>
      <w:lvlText w:val="%3."/>
      <w:lvlJc w:val="right"/>
      <w:pPr>
        <w:ind w:left="2160" w:hanging="180"/>
      </w:pPr>
    </w:lvl>
    <w:lvl w:ilvl="3" w:tplc="65D04806">
      <w:start w:val="1"/>
      <w:numFmt w:val="decimal"/>
      <w:lvlText w:val="%4."/>
      <w:lvlJc w:val="left"/>
      <w:pPr>
        <w:ind w:left="2880" w:hanging="360"/>
      </w:pPr>
    </w:lvl>
    <w:lvl w:ilvl="4" w:tplc="90E29B2C">
      <w:start w:val="1"/>
      <w:numFmt w:val="lowerLetter"/>
      <w:lvlText w:val="%5."/>
      <w:lvlJc w:val="left"/>
      <w:pPr>
        <w:ind w:left="3600" w:hanging="360"/>
      </w:pPr>
    </w:lvl>
    <w:lvl w:ilvl="5" w:tplc="8F8EC1FA">
      <w:start w:val="1"/>
      <w:numFmt w:val="lowerRoman"/>
      <w:lvlText w:val="%6."/>
      <w:lvlJc w:val="right"/>
      <w:pPr>
        <w:ind w:left="4320" w:hanging="180"/>
      </w:pPr>
    </w:lvl>
    <w:lvl w:ilvl="6" w:tplc="503C691E">
      <w:start w:val="1"/>
      <w:numFmt w:val="decimal"/>
      <w:lvlText w:val="%7."/>
      <w:lvlJc w:val="left"/>
      <w:pPr>
        <w:ind w:left="5040" w:hanging="360"/>
      </w:pPr>
    </w:lvl>
    <w:lvl w:ilvl="7" w:tplc="FD98700E">
      <w:start w:val="1"/>
      <w:numFmt w:val="lowerLetter"/>
      <w:lvlText w:val="%8."/>
      <w:lvlJc w:val="left"/>
      <w:pPr>
        <w:ind w:left="5760" w:hanging="360"/>
      </w:pPr>
    </w:lvl>
    <w:lvl w:ilvl="8" w:tplc="2F80A5E6">
      <w:start w:val="1"/>
      <w:numFmt w:val="lowerRoman"/>
      <w:lvlText w:val="%9."/>
      <w:lvlJc w:val="right"/>
      <w:pPr>
        <w:ind w:left="6480" w:hanging="180"/>
      </w:pPr>
    </w:lvl>
  </w:abstractNum>
  <w:num w:numId="1" w16cid:durableId="728579847">
    <w:abstractNumId w:val="8"/>
  </w:num>
  <w:num w:numId="2" w16cid:durableId="1932198084">
    <w:abstractNumId w:val="5"/>
  </w:num>
  <w:num w:numId="3" w16cid:durableId="950892847">
    <w:abstractNumId w:val="1"/>
  </w:num>
  <w:num w:numId="4" w16cid:durableId="451171785">
    <w:abstractNumId w:val="2"/>
  </w:num>
  <w:num w:numId="5" w16cid:durableId="512189507">
    <w:abstractNumId w:val="0"/>
  </w:num>
  <w:num w:numId="6" w16cid:durableId="1769961543">
    <w:abstractNumId w:val="6"/>
  </w:num>
  <w:num w:numId="7" w16cid:durableId="1881698231">
    <w:abstractNumId w:val="7"/>
  </w:num>
  <w:num w:numId="8" w16cid:durableId="2096633247">
    <w:abstractNumId w:val="4"/>
  </w:num>
  <w:num w:numId="9" w16cid:durableId="779567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07D4EE"/>
    <w:rsid w:val="000640BF"/>
    <w:rsid w:val="000778FC"/>
    <w:rsid w:val="00227D80"/>
    <w:rsid w:val="002848CE"/>
    <w:rsid w:val="00351C43"/>
    <w:rsid w:val="0061488F"/>
    <w:rsid w:val="00625867"/>
    <w:rsid w:val="006A13C5"/>
    <w:rsid w:val="006F242C"/>
    <w:rsid w:val="0071319E"/>
    <w:rsid w:val="0072006A"/>
    <w:rsid w:val="00722CD5"/>
    <w:rsid w:val="007A15DC"/>
    <w:rsid w:val="007A65EC"/>
    <w:rsid w:val="007D204F"/>
    <w:rsid w:val="0085690D"/>
    <w:rsid w:val="008B496B"/>
    <w:rsid w:val="0094912E"/>
    <w:rsid w:val="00964535"/>
    <w:rsid w:val="00A346E7"/>
    <w:rsid w:val="00A85238"/>
    <w:rsid w:val="00AC3592"/>
    <w:rsid w:val="00B05A89"/>
    <w:rsid w:val="00B544FD"/>
    <w:rsid w:val="00BB0919"/>
    <w:rsid w:val="00C013E8"/>
    <w:rsid w:val="00C019E5"/>
    <w:rsid w:val="00C02054"/>
    <w:rsid w:val="00CA1C41"/>
    <w:rsid w:val="00D310CF"/>
    <w:rsid w:val="00D54932"/>
    <w:rsid w:val="00DA0A0D"/>
    <w:rsid w:val="00DB26B3"/>
    <w:rsid w:val="00E07377"/>
    <w:rsid w:val="00E45519"/>
    <w:rsid w:val="00E67E5E"/>
    <w:rsid w:val="00EC7DBF"/>
    <w:rsid w:val="00F343B3"/>
    <w:rsid w:val="00F712D4"/>
    <w:rsid w:val="00F71A42"/>
    <w:rsid w:val="00FB1887"/>
    <w:rsid w:val="02287409"/>
    <w:rsid w:val="029FF820"/>
    <w:rsid w:val="04042F53"/>
    <w:rsid w:val="057C3A82"/>
    <w:rsid w:val="0703D2B2"/>
    <w:rsid w:val="0792B7C3"/>
    <w:rsid w:val="07F6A41E"/>
    <w:rsid w:val="090D03FD"/>
    <w:rsid w:val="0AF40E5E"/>
    <w:rsid w:val="0C7A6FE1"/>
    <w:rsid w:val="0E1C8853"/>
    <w:rsid w:val="0E542FF9"/>
    <w:rsid w:val="0E5D0714"/>
    <w:rsid w:val="0EC66C6B"/>
    <w:rsid w:val="101BD0F1"/>
    <w:rsid w:val="10D5194D"/>
    <w:rsid w:val="119D9F43"/>
    <w:rsid w:val="11FE0D2D"/>
    <w:rsid w:val="128BEB87"/>
    <w:rsid w:val="1291B574"/>
    <w:rsid w:val="1322D2B1"/>
    <w:rsid w:val="14CBA609"/>
    <w:rsid w:val="14D215B7"/>
    <w:rsid w:val="14F6475B"/>
    <w:rsid w:val="1548B9C6"/>
    <w:rsid w:val="157AAF31"/>
    <w:rsid w:val="15E00DAA"/>
    <w:rsid w:val="16C85742"/>
    <w:rsid w:val="170B188A"/>
    <w:rsid w:val="17F1DB5E"/>
    <w:rsid w:val="184BA251"/>
    <w:rsid w:val="193900BD"/>
    <w:rsid w:val="1942B3B0"/>
    <w:rsid w:val="194318C4"/>
    <w:rsid w:val="1B0AA572"/>
    <w:rsid w:val="1B3AE78D"/>
    <w:rsid w:val="1B7D150A"/>
    <w:rsid w:val="1BDAFC05"/>
    <w:rsid w:val="1BDE89AD"/>
    <w:rsid w:val="1DBAD3A1"/>
    <w:rsid w:val="1EE4EEFB"/>
    <w:rsid w:val="1FD28CA2"/>
    <w:rsid w:val="2236331D"/>
    <w:rsid w:val="22D20CC3"/>
    <w:rsid w:val="22E6478A"/>
    <w:rsid w:val="23581C79"/>
    <w:rsid w:val="248F1E74"/>
    <w:rsid w:val="25B16D05"/>
    <w:rsid w:val="25BEE987"/>
    <w:rsid w:val="25E25492"/>
    <w:rsid w:val="273E5E6C"/>
    <w:rsid w:val="286ADFFD"/>
    <w:rsid w:val="2B0CE949"/>
    <w:rsid w:val="2B3455F7"/>
    <w:rsid w:val="2C361891"/>
    <w:rsid w:val="2C8EB2CF"/>
    <w:rsid w:val="2C934950"/>
    <w:rsid w:val="2DE88B36"/>
    <w:rsid w:val="2E79F660"/>
    <w:rsid w:val="2EBDAFFA"/>
    <w:rsid w:val="2ED8F525"/>
    <w:rsid w:val="2FC65391"/>
    <w:rsid w:val="2FD00684"/>
    <w:rsid w:val="2FF07105"/>
    <w:rsid w:val="3074C586"/>
    <w:rsid w:val="30A2B394"/>
    <w:rsid w:val="30F7D5E8"/>
    <w:rsid w:val="313D2EB1"/>
    <w:rsid w:val="369B5A03"/>
    <w:rsid w:val="3741E570"/>
    <w:rsid w:val="389B6745"/>
    <w:rsid w:val="3A3B405D"/>
    <w:rsid w:val="3A9F72B5"/>
    <w:rsid w:val="3DDF6080"/>
    <w:rsid w:val="3EF5D245"/>
    <w:rsid w:val="3F83DD1D"/>
    <w:rsid w:val="4081D6F7"/>
    <w:rsid w:val="4100C085"/>
    <w:rsid w:val="41C0CA80"/>
    <w:rsid w:val="42A25582"/>
    <w:rsid w:val="42A6330C"/>
    <w:rsid w:val="437351F2"/>
    <w:rsid w:val="43B0DF01"/>
    <w:rsid w:val="43BC3EB6"/>
    <w:rsid w:val="43F865A6"/>
    <w:rsid w:val="443E25E3"/>
    <w:rsid w:val="44774958"/>
    <w:rsid w:val="454C3F28"/>
    <w:rsid w:val="460225D4"/>
    <w:rsid w:val="4633F11A"/>
    <w:rsid w:val="46943BA3"/>
    <w:rsid w:val="46EA17D1"/>
    <w:rsid w:val="47B9A4CF"/>
    <w:rsid w:val="4808DCCA"/>
    <w:rsid w:val="48300C04"/>
    <w:rsid w:val="48CF2295"/>
    <w:rsid w:val="4919848C"/>
    <w:rsid w:val="4955B634"/>
    <w:rsid w:val="49C292DE"/>
    <w:rsid w:val="49CAE9DC"/>
    <w:rsid w:val="4B67ACC6"/>
    <w:rsid w:val="4BA3C989"/>
    <w:rsid w:val="4BF9C498"/>
    <w:rsid w:val="4C8379AF"/>
    <w:rsid w:val="4D037D27"/>
    <w:rsid w:val="4D9594F9"/>
    <w:rsid w:val="4F31655A"/>
    <w:rsid w:val="4F7E536C"/>
    <w:rsid w:val="50094191"/>
    <w:rsid w:val="5092BB0D"/>
    <w:rsid w:val="5230341B"/>
    <w:rsid w:val="52C066D2"/>
    <w:rsid w:val="5307D4EE"/>
    <w:rsid w:val="5378F664"/>
    <w:rsid w:val="545C3733"/>
    <w:rsid w:val="54CED84C"/>
    <w:rsid w:val="55F80794"/>
    <w:rsid w:val="5635F076"/>
    <w:rsid w:val="56A647A3"/>
    <w:rsid w:val="56E29C98"/>
    <w:rsid w:val="586D8104"/>
    <w:rsid w:val="5896CA7F"/>
    <w:rsid w:val="58A1F13A"/>
    <w:rsid w:val="58F37422"/>
    <w:rsid w:val="5C040F44"/>
    <w:rsid w:val="5C586B26"/>
    <w:rsid w:val="5D8D8669"/>
    <w:rsid w:val="5DC23F68"/>
    <w:rsid w:val="5FA35FAC"/>
    <w:rsid w:val="60BD34E4"/>
    <w:rsid w:val="611A8C9A"/>
    <w:rsid w:val="616DB6A2"/>
    <w:rsid w:val="61B548DA"/>
    <w:rsid w:val="61E14ABD"/>
    <w:rsid w:val="61F1199D"/>
    <w:rsid w:val="62934858"/>
    <w:rsid w:val="63098703"/>
    <w:rsid w:val="6359C47C"/>
    <w:rsid w:val="641896BF"/>
    <w:rsid w:val="644A54AE"/>
    <w:rsid w:val="645E399D"/>
    <w:rsid w:val="65AC8AD5"/>
    <w:rsid w:val="6647B73E"/>
    <w:rsid w:val="6658EE61"/>
    <w:rsid w:val="666C8718"/>
    <w:rsid w:val="68085779"/>
    <w:rsid w:val="687F1147"/>
    <w:rsid w:val="68F7376E"/>
    <w:rsid w:val="69922DA2"/>
    <w:rsid w:val="69D066A6"/>
    <w:rsid w:val="6A30E2D7"/>
    <w:rsid w:val="6B9A7B3F"/>
    <w:rsid w:val="6C2ED830"/>
    <w:rsid w:val="6C560651"/>
    <w:rsid w:val="6CC3434A"/>
    <w:rsid w:val="6D688399"/>
    <w:rsid w:val="6E5F13AB"/>
    <w:rsid w:val="6EC7866F"/>
    <w:rsid w:val="6EDAAF7C"/>
    <w:rsid w:val="700BDDB9"/>
    <w:rsid w:val="701EE2B9"/>
    <w:rsid w:val="70278BE5"/>
    <w:rsid w:val="70502775"/>
    <w:rsid w:val="706ABFC6"/>
    <w:rsid w:val="71EE74AA"/>
    <w:rsid w:val="71F4A775"/>
    <w:rsid w:val="72DDC182"/>
    <w:rsid w:val="73279853"/>
    <w:rsid w:val="74C368B4"/>
    <w:rsid w:val="77666C86"/>
    <w:rsid w:val="7779785D"/>
    <w:rsid w:val="7A78EBB2"/>
    <w:rsid w:val="7B2BEBA2"/>
    <w:rsid w:val="7C39DDA9"/>
    <w:rsid w:val="7CE64135"/>
    <w:rsid w:val="7D7AAB54"/>
    <w:rsid w:val="7DA127A9"/>
    <w:rsid w:val="7DB401AA"/>
    <w:rsid w:val="7E821196"/>
    <w:rsid w:val="7EDEA6E8"/>
    <w:rsid w:val="7F077685"/>
    <w:rsid w:val="7F3CF8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527A7"/>
  <w15:chartTrackingRefBased/>
  <w15:docId w15:val="{75A3093C-B581-4275-AEB3-FA667A59C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722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48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88F"/>
  </w:style>
  <w:style w:type="paragraph" w:styleId="Footer">
    <w:name w:val="footer"/>
    <w:basedOn w:val="Normal"/>
    <w:link w:val="FooterChar"/>
    <w:uiPriority w:val="99"/>
    <w:unhideWhenUsed/>
    <w:rsid w:val="006148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88F"/>
  </w:style>
  <w:style w:type="character" w:styleId="PlaceholderText">
    <w:name w:val="Placeholder Text"/>
    <w:basedOn w:val="DefaultParagraphFont"/>
    <w:uiPriority w:val="99"/>
    <w:semiHidden/>
    <w:rsid w:val="007A15DC"/>
    <w:rPr>
      <w:color w:val="808080"/>
    </w:rPr>
  </w:style>
  <w:style w:type="paragraph" w:styleId="BodyText">
    <w:name w:val="Body Text"/>
    <w:basedOn w:val="Normal"/>
    <w:link w:val="BodyTextChar"/>
    <w:uiPriority w:val="99"/>
    <w:unhideWhenUsed/>
    <w:rsid w:val="00EC7DBF"/>
    <w:pPr>
      <w:jc w:val="both"/>
    </w:pPr>
    <w:rPr>
      <w:rFonts w:eastAsiaTheme="minorEastAsia"/>
      <w:sz w:val="24"/>
      <w:szCs w:val="24"/>
    </w:rPr>
  </w:style>
  <w:style w:type="character" w:customStyle="1" w:styleId="BodyTextChar">
    <w:name w:val="Body Text Char"/>
    <w:basedOn w:val="DefaultParagraphFont"/>
    <w:link w:val="BodyText"/>
    <w:uiPriority w:val="99"/>
    <w:rsid w:val="00EC7DB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377101">
      <w:bodyDiv w:val="1"/>
      <w:marLeft w:val="0"/>
      <w:marRight w:val="0"/>
      <w:marTop w:val="0"/>
      <w:marBottom w:val="0"/>
      <w:divBdr>
        <w:top w:val="none" w:sz="0" w:space="0" w:color="auto"/>
        <w:left w:val="none" w:sz="0" w:space="0" w:color="auto"/>
        <w:bottom w:val="none" w:sz="0" w:space="0" w:color="auto"/>
        <w:right w:val="none" w:sz="0" w:space="0" w:color="auto"/>
      </w:divBdr>
    </w:div>
    <w:div w:id="725761452">
      <w:bodyDiv w:val="1"/>
      <w:marLeft w:val="0"/>
      <w:marRight w:val="0"/>
      <w:marTop w:val="0"/>
      <w:marBottom w:val="0"/>
      <w:divBdr>
        <w:top w:val="none" w:sz="0" w:space="0" w:color="auto"/>
        <w:left w:val="none" w:sz="0" w:space="0" w:color="auto"/>
        <w:bottom w:val="none" w:sz="0" w:space="0" w:color="auto"/>
        <w:right w:val="none" w:sz="0" w:space="0" w:color="auto"/>
      </w:divBdr>
    </w:div>
    <w:div w:id="839581838">
      <w:bodyDiv w:val="1"/>
      <w:marLeft w:val="0"/>
      <w:marRight w:val="0"/>
      <w:marTop w:val="0"/>
      <w:marBottom w:val="0"/>
      <w:divBdr>
        <w:top w:val="none" w:sz="0" w:space="0" w:color="auto"/>
        <w:left w:val="none" w:sz="0" w:space="0" w:color="auto"/>
        <w:bottom w:val="none" w:sz="0" w:space="0" w:color="auto"/>
        <w:right w:val="none" w:sz="0" w:space="0" w:color="auto"/>
      </w:divBdr>
      <w:divsChild>
        <w:div w:id="1048458602">
          <w:marLeft w:val="0"/>
          <w:marRight w:val="0"/>
          <w:marTop w:val="0"/>
          <w:marBottom w:val="0"/>
          <w:divBdr>
            <w:top w:val="none" w:sz="0" w:space="0" w:color="auto"/>
            <w:left w:val="none" w:sz="0" w:space="0" w:color="auto"/>
            <w:bottom w:val="none" w:sz="0" w:space="0" w:color="auto"/>
            <w:right w:val="none" w:sz="0" w:space="0" w:color="auto"/>
          </w:divBdr>
          <w:divsChild>
            <w:div w:id="5823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8656">
      <w:bodyDiv w:val="1"/>
      <w:marLeft w:val="0"/>
      <w:marRight w:val="0"/>
      <w:marTop w:val="0"/>
      <w:marBottom w:val="0"/>
      <w:divBdr>
        <w:top w:val="none" w:sz="0" w:space="0" w:color="auto"/>
        <w:left w:val="none" w:sz="0" w:space="0" w:color="auto"/>
        <w:bottom w:val="none" w:sz="0" w:space="0" w:color="auto"/>
        <w:right w:val="none" w:sz="0" w:space="0" w:color="auto"/>
      </w:divBdr>
    </w:div>
    <w:div w:id="1983192265">
      <w:bodyDiv w:val="1"/>
      <w:marLeft w:val="0"/>
      <w:marRight w:val="0"/>
      <w:marTop w:val="0"/>
      <w:marBottom w:val="0"/>
      <w:divBdr>
        <w:top w:val="none" w:sz="0" w:space="0" w:color="auto"/>
        <w:left w:val="none" w:sz="0" w:space="0" w:color="auto"/>
        <w:bottom w:val="none" w:sz="0" w:space="0" w:color="auto"/>
        <w:right w:val="none" w:sz="0" w:space="0" w:color="auto"/>
      </w:divBdr>
      <w:divsChild>
        <w:div w:id="638195943">
          <w:marLeft w:val="0"/>
          <w:marRight w:val="0"/>
          <w:marTop w:val="0"/>
          <w:marBottom w:val="0"/>
          <w:divBdr>
            <w:top w:val="single" w:sz="2" w:space="0" w:color="auto"/>
            <w:left w:val="single" w:sz="2" w:space="0" w:color="auto"/>
            <w:bottom w:val="single" w:sz="6" w:space="0" w:color="auto"/>
            <w:right w:val="single" w:sz="2" w:space="0" w:color="auto"/>
          </w:divBdr>
          <w:divsChild>
            <w:div w:id="25876009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056091">
                  <w:marLeft w:val="0"/>
                  <w:marRight w:val="0"/>
                  <w:marTop w:val="0"/>
                  <w:marBottom w:val="0"/>
                  <w:divBdr>
                    <w:top w:val="single" w:sz="2" w:space="0" w:color="D9D9E3"/>
                    <w:left w:val="single" w:sz="2" w:space="0" w:color="D9D9E3"/>
                    <w:bottom w:val="single" w:sz="2" w:space="0" w:color="D9D9E3"/>
                    <w:right w:val="single" w:sz="2" w:space="0" w:color="D9D9E3"/>
                  </w:divBdr>
                  <w:divsChild>
                    <w:div w:id="326905116">
                      <w:marLeft w:val="0"/>
                      <w:marRight w:val="0"/>
                      <w:marTop w:val="0"/>
                      <w:marBottom w:val="0"/>
                      <w:divBdr>
                        <w:top w:val="single" w:sz="2" w:space="0" w:color="D9D9E3"/>
                        <w:left w:val="single" w:sz="2" w:space="0" w:color="D9D9E3"/>
                        <w:bottom w:val="single" w:sz="2" w:space="0" w:color="D9D9E3"/>
                        <w:right w:val="single" w:sz="2" w:space="0" w:color="D9D9E3"/>
                      </w:divBdr>
                      <w:divsChild>
                        <w:div w:id="2070568250">
                          <w:marLeft w:val="0"/>
                          <w:marRight w:val="0"/>
                          <w:marTop w:val="0"/>
                          <w:marBottom w:val="0"/>
                          <w:divBdr>
                            <w:top w:val="single" w:sz="2" w:space="0" w:color="D9D9E3"/>
                            <w:left w:val="single" w:sz="2" w:space="0" w:color="D9D9E3"/>
                            <w:bottom w:val="single" w:sz="2" w:space="0" w:color="D9D9E3"/>
                            <w:right w:val="single" w:sz="2" w:space="0" w:color="D9D9E3"/>
                          </w:divBdr>
                          <w:divsChild>
                            <w:div w:id="21902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Dolson-Fazio</dc:creator>
  <cp:keywords/>
  <dc:description/>
  <cp:lastModifiedBy>Abhilasha Jain</cp:lastModifiedBy>
  <cp:revision>3</cp:revision>
  <dcterms:created xsi:type="dcterms:W3CDTF">2023-04-17T17:00:00Z</dcterms:created>
  <dcterms:modified xsi:type="dcterms:W3CDTF">2023-04-17T20:17:00Z</dcterms:modified>
</cp:coreProperties>
</file>