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40"/>
      </w:pPr>
      <w:r>
        <w:rPr>
          <w:b/>
          <w:bCs/>
          <w:color w:val="1F3A5F"/>
          <w:sz w:val="34"/>
          <w:szCs w:val="34"/>
        </w:rPr>
        <w:t xml:space="preserve">Guide de déploiement — Stack Prometheus + Grafana</w:t>
      </w:r>
    </w:p>
    <w:p>
      <w:pPr>
        <w:spacing w:after="30"/>
      </w:pPr>
      <w:r>
        <w:rPr>
          <w:color w:val="555555"/>
          <w:sz w:val="22"/>
          <w:szCs w:val="22"/>
        </w:rPr>
        <w:t xml:space="preserve">Projet 01 — Installation pas à pas sur VirtualBox</w:t>
      </w:r>
    </w:p>
    <w:p>
      <w:pPr>
        <w:spacing w:after="240"/>
      </w:pPr>
      <w:r>
        <w:rPr>
          <w:color w:val="555555"/>
          <w:sz w:val="20"/>
          <w:szCs w:val="20"/>
        </w:rPr>
        <w:t xml:space="preserve">IAI — Master II Administration Réseaux &amp; Cybersécurité (ING2)   •   Année 2025-2026</w:t>
      </w:r>
    </w:p>
    <w:p>
      <w:pPr>
        <w:spacing w:after="120"/>
      </w:pPr>
      <w:r>
        <w:rPr>
          <w:b/>
          <w:bCs/>
          <w:color w:val="1F3A5F"/>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Introduction</w:t>
      </w:r>
    </w:p>
    <w:p>
      <w:pPr>
        <w:spacing w:after="140" w:line="276"/>
        <w:jc w:val="both"/>
      </w:pPr>
      <w:r>
        <w:t xml:space="preserve">Ce guide accompagne pas à pas le déploiement de la plateforme de supervision du Projet 01. Il s’adresse à une mise en œuvre sur un poste de travail personnel et reprend l’architecture décrite dans le rapport associé : trois machines virtuelles Debian 13 hébergées sous VirtualBox, sur lesquelles s’installent Prometheus, Grafana, AlertManager, Node Exporter, une application web instrumentée et une base de données PostgreSQL.</w:t>
      </w:r>
    </w:p>
    <w:p>
      <w:pPr>
        <w:spacing w:after="140" w:line="276"/>
        <w:jc w:val="both"/>
      </w:pPr>
      <w:r>
        <w:t xml:space="preserve">Chaque étape est accompagnée des commandes à exécuter, dûment commentées, et d’une zone destinée à recevoir une capture d’écran. Ces captures constituent les preuves de réalisation attendues par les livrables L2 (tableaux de bord), L3 (provisionnement) et L4 (alertes). Le guide se termine par une trame de démonstration de vingt minutes correspondant au livrable L5.</w:t>
      </w:r>
    </w:p>
    <w:p>
      <w:pPr>
        <w:spacing w:after="140" w:line="276"/>
        <w:jc w:val="both"/>
      </w:pPr>
      <w:r>
        <w:t xml:space="preserve">L’installation est entièrement scriptée. Les scripts fournis (dans le dossier scripts/) automatisent les opérations répétitives ; le guide en explique le contenu et l’ordre d’exécution, afin que chaque commande reste comprise et non simplement copiée.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Convention de lecture</w:t>
            </w:r>
          </w:p>
          <w:p>
            <w:pPr>
              <w:spacing w:after="40" w:line="264"/>
              <w:jc w:val="both"/>
            </w:pPr>
            <w:r>
              <w:rPr>
                <w:sz w:val="20"/>
                <w:szCs w:val="20"/>
              </w:rPr>
              <w:t xml:space="preserve">Les commandes précédées de « $ » s’exécutent dans un terminal en tant qu’utilisateur courant ; celles précédées de « # » nécessitent les privilèges administrateur (root), obtenus avec sudo. Les valeurs entre chevrons, comme &lt;IP_SERVEUR&gt;, sont à remplacer par les vôtres.</w:t>
            </w:r>
          </w:p>
        </w:tc>
      </w:tr>
    </w:tbl>
    <w:p>
      <w:pPr>
        <w:pStyle w:val="Heading1"/>
      </w:pPr>
      <w:r>
        <w:t xml:space="preserve">2. Prérequis matériels et logiciels</w:t>
      </w:r>
    </w:p>
    <w:p>
      <w:pPr>
        <w:spacing w:after="140" w:line="276"/>
        <w:jc w:val="both"/>
      </w:pPr>
      <w:r>
        <w:t xml:space="preserve">Le déploiement a été pensé pour un poste de travail disposant des ressources suivantes, qui constituent une base confortable sans être excessive.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Ressource</w:t>
            </w:r>
          </w:p>
        </w:tc>
        <w:tc>
          <w:tcPr>
            <w:tcW w:type="dxa" w:w="232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Poste hôte</w:t>
            </w:r>
          </w:p>
        </w:tc>
        <w:tc>
          <w:tcPr>
            <w:tcW w:type="dxa" w:w="232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Réservé à l’hôte</w:t>
            </w:r>
          </w:p>
        </w:tc>
        <w:tc>
          <w:tcPr>
            <w:tcW w:type="dxa" w:w="232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Alloué aux VM</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Mémoire vive</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16 Go</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4 Go</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12 Go</w:t>
            </w:r>
          </w:p>
        </w:tc>
      </w:tr>
      <w:tr>
        <w:tc>
          <w:tcPr>
            <w:tcW w:type="dxa" w:w="2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Stockage</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100 Go disponibles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Système hôte</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Windows</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t>
            </w:r>
          </w:p>
        </w:tc>
        <w:tc>
          <w:tcPr>
            <w:tcW w:type="dxa" w:w="23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t>
            </w:r>
          </w:p>
        </w:tc>
      </w:tr>
      <w:tr>
        <w:tc>
          <w:tcPr>
            <w:tcW w:type="dxa" w:w="2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Hyperviseur</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VirtualBox</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w:t>
            </w:r>
          </w:p>
        </w:tc>
        <w:tc>
          <w:tcPr>
            <w:tcW w:type="dxa" w:w="232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w:t>
            </w:r>
          </w:p>
        </w:tc>
      </w:tr>
    </w:tbl>
    <w:p>
      <w:pPr>
        <w:spacing w:after="60"/>
      </w:pPr>
      <w:r>
        <w:t xml:space="preserve"/>
      </w:r>
    </w:p>
    <w:p>
      <w:pPr>
        <w:spacing w:after="140" w:line="276"/>
        <w:jc w:val="both"/>
      </w:pPr>
      <w:r>
        <w:t xml:space="preserve">La répartition des 12 Go alloués aux machines virtuelles est la suivante : 4 Go pour srv-monitor (qui héberge l’essentiel de la pile), 3 Go pour srv-web01 et 3 Go pour srv-db01, soit 10 Go effectivement consommés et une marge de 2 Go pour le confort. Côté stockage, les trois disques (40 + 25 + 25 Go) totalisent 90 Go, sous la limite des 100 Go.</w:t>
      </w:r>
    </w:p>
    <w:p>
      <w:pPr>
        <w:spacing w:after="140" w:line="276"/>
        <w:jc w:val="both"/>
      </w:pPr>
      <w:r>
        <w:t xml:space="preserve">Côté logiciel, il faut au préalable :</w:t>
      </w:r>
    </w:p>
    <w:p>
      <w:pPr>
        <w:pStyle w:val="ListParagraph"/>
        <w:numPr>
          <w:ilvl w:val="0"/>
          <w:numId w:val="2"/>
        </w:numPr>
        <w:spacing w:after="60" w:line="264"/>
        <w:jc w:val="both"/>
      </w:pPr>
      <w:r>
        <w:t xml:space="preserve">VirtualBox installé sur le poste Windows (avec son Extension Pack).</w:t>
      </w:r>
    </w:p>
    <w:p>
      <w:pPr>
        <w:pStyle w:val="ListParagraph"/>
        <w:numPr>
          <w:ilvl w:val="0"/>
          <w:numId w:val="2"/>
        </w:numPr>
        <w:spacing w:after="60" w:line="264"/>
        <w:jc w:val="both"/>
      </w:pPr>
      <w:r>
        <w:t xml:space="preserve">L’image d’installation de Debian 13 (fichier ISO, version « netinst » suffisante).</w:t>
      </w:r>
    </w:p>
    <w:p>
      <w:pPr>
        <w:pStyle w:val="ListParagraph"/>
        <w:numPr>
          <w:ilvl w:val="0"/>
          <w:numId w:val="2"/>
        </w:numPr>
        <w:spacing w:after="60" w:line="264"/>
        <w:jc w:val="both"/>
      </w:pPr>
      <w:r>
        <w:t xml:space="preserve">Les fichiers du projet (scripts et configurations), transférables vers les VM par dossier partagé ou par dépôt Git.</w:t>
      </w:r>
    </w:p>
    <w:p>
      <w:pPr>
        <w:pStyle w:val="Heading1"/>
      </w:pPr>
      <w:r>
        <w:t xml:space="preserve">3. Préparation de VirtualBox</w:t>
      </w:r>
    </w:p>
    <w:p>
      <w:pPr>
        <w:pStyle w:val="Heading2"/>
      </w:pPr>
      <w:r>
        <w:t xml:space="preserve">3.1. Création du réseau privé hôte</w:t>
      </w:r>
    </w:p>
    <w:p>
      <w:pPr>
        <w:spacing w:after="140" w:line="276"/>
        <w:jc w:val="both"/>
      </w:pPr>
      <w:r>
        <w:t xml:space="preserve">Les trois VM communiquent sur un réseau privé hôte (Host-Only), isolé d’Internet, en 192.168.56.0/24. Ce réseau permet à l’hôte Windows et aux VM de se joindre mutuellement, tout en gardant la supervision à l’écart de l’extérieur. Dans VirtualBox, ouvrez « Fichier → Outils → Gestionnaire de réseau hôte », puis créez un réseau Host-Only nommé vboxnet0 avec l’adresse 192.168.56.1 et le masque 255.255.255.0. Désactivez le serveur DHCP : les adresses seront fixées manuellement.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1 — Réseau Host-Only</w:t>
            </w:r>
          </w:p>
          <w:p>
            <w:pPr>
              <w:spacing w:after="40"/>
              <w:jc w:val="center"/>
            </w:pPr>
            <w:r>
              <w:rPr>
                <w:i/>
                <w:iCs/>
                <w:color w:val="555555"/>
                <w:sz w:val="19"/>
                <w:szCs w:val="19"/>
              </w:rPr>
              <w:t xml:space="preserve">Capturer la fenêtre du gestionnaire de réseau hôte montrant vboxnet0 en 192.168.56.1/24.</w:t>
            </w:r>
          </w:p>
          <w:p>
            <w:pPr>
              <w:jc w:val="center"/>
            </w:pPr>
            <w:r>
              <w:rPr>
                <w:color w:val="9DB8D2"/>
                <w:sz w:val="18"/>
                <w:szCs w:val="18"/>
              </w:rPr>
              <w:t xml:space="preserve">[ Insérer la capture d’écran ici ]</w:t>
            </w:r>
          </w:p>
        </w:tc>
      </w:tr>
    </w:tbl>
    <w:p>
      <w:pPr>
        <w:spacing w:after="80"/>
      </w:pPr>
      <w:r>
        <w:t xml:space="preserve"/>
      </w:r>
    </w:p>
    <w:p>
      <w:pPr>
        <w:pStyle w:val="Heading2"/>
      </w:pPr>
      <w:r>
        <w:t xml:space="preserve">3.2. Double carte réseau par VM</w:t>
      </w:r>
    </w:p>
    <w:p>
      <w:pPr>
        <w:spacing w:after="140" w:line="276"/>
        <w:jc w:val="both"/>
      </w:pPr>
      <w:r>
        <w:t xml:space="preserve">Chaque machine virtuelle dispose de deux interfaces réseau. La première, en mode NAT, donne accès à Internet pour les téléchargements de paquets. La seconde, raccordée au réseau Host-Only vboxnet0, porte l’adresse fixe du serveur sur le segment de supervision. Cette séparation reflète une bonne pratique : le trafic de gestion est distinct du trafic sortant.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60"/>
        <w:gridCol w:w="25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VM</w:t>
            </w:r>
          </w:p>
        </w:tc>
        <w:tc>
          <w:tcPr>
            <w:tcW w:type="dxa" w:w="23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Carte 1 (NAT)</w:t>
            </w:r>
          </w:p>
        </w:tc>
        <w:tc>
          <w:tcPr>
            <w:tcW w:type="dxa" w:w="26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Carte 2 (Host-Only)</w:t>
            </w:r>
          </w:p>
        </w:tc>
        <w:tc>
          <w:tcPr>
            <w:tcW w:type="dxa" w:w="25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RAM / Disque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srv-monitor</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Accès Internet</w:t>
            </w:r>
          </w:p>
        </w:tc>
        <w:tc>
          <w:tcPr>
            <w:tcW w:type="dxa" w:w="2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192.168.56.10</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4096 Mo / 40 Go</w:t>
            </w:r>
          </w:p>
        </w:tc>
      </w:tr>
      <w:tr>
        <w:tc>
          <w:tcPr>
            <w:tcW w:type="dxa" w:w="1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srv-web01</w:t>
            </w:r>
          </w:p>
        </w:tc>
        <w:tc>
          <w:tcPr>
            <w:tcW w:type="dxa" w:w="23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Accès Internet</w:t>
            </w:r>
          </w:p>
        </w:tc>
        <w:tc>
          <w:tcPr>
            <w:tcW w:type="dxa" w:w="26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192.168.56.11</w:t>
            </w:r>
          </w:p>
        </w:tc>
        <w:tc>
          <w:tcPr>
            <w:tcW w:type="dxa" w:w="2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3072 Mo / 25 Go</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srv-db01</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Accès Internet</w:t>
            </w:r>
          </w:p>
        </w:tc>
        <w:tc>
          <w:tcPr>
            <w:tcW w:type="dxa" w:w="2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192.168.56.12</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3072 Mo / 25 Go</w:t>
            </w:r>
          </w:p>
        </w:tc>
      </w:tr>
    </w:tbl>
    <w:p>
      <w:pPr>
        <w:spacing w:after="60"/>
      </w:pPr>
      <w:r>
        <w:t xml:space="preserve"/>
      </w:r>
    </w:p>
    <w:p>
      <w:pPr>
        <w:pStyle w:val="Heading2"/>
      </w:pPr>
      <w:r>
        <w:t xml:space="preserve">3.3. Création des trois machines</w:t>
      </w:r>
    </w:p>
    <w:p>
      <w:pPr>
        <w:spacing w:after="140" w:line="276"/>
        <w:jc w:val="both"/>
      </w:pPr>
      <w:r>
        <w:t xml:space="preserve">Pour chaque VM, créez une machine de type « Linux / Debian 64 bits », attribuez-lui la mémoire et le disque indiqués, montez l’ISO de Debian, puis configurez les deux cartes réseau comme ci-dessus. Procédez ensuite à l’installation de Debian de façon classique (système minimal, serveur SSH, utilitaires usuels ; l’environnement de bureau n’est pas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Astuce — installer une fois, cloner deux fois</w:t>
            </w:r>
          </w:p>
          <w:p>
            <w:pPr>
              <w:spacing w:after="40" w:line="264"/>
              <w:jc w:val="both"/>
            </w:pPr>
            <w:r>
              <w:rPr>
                <w:sz w:val="20"/>
                <w:szCs w:val="20"/>
              </w:rPr>
              <w:t xml:space="preserve">Pour gagner du temps, installez entièrement la première VM (mises à jour, SSH, compte utilisateur), éteignez-la, puis utilisez le clonage intégral de VirtualBox pour produire les deux autres. Il ne restera qu’à ajuster le nom d’hôte et l’adresse IP fixe de chaque clone.</w:t>
            </w:r>
          </w:p>
        </w:tc>
      </w:tr>
    </w:tbl>
    <w:p>
      <w:pPr>
        <w:pStyle w:val="Heading1"/>
      </w:pPr>
      <w:r>
        <w:t xml:space="preserve">4. Configuration réseau des machines</w:t>
      </w:r>
    </w:p>
    <w:p>
      <w:pPr>
        <w:spacing w:after="140" w:line="276"/>
        <w:jc w:val="both"/>
      </w:pPr>
      <w:r>
        <w:t xml:space="preserve">Sur chaque VM, l’adresse de la seconde interface (Host-Only) est fixée de façon statique. L’exemple ci-dessous concerne srv-monitor ; adaptez l’adresse pour srv-web01 (.11) et srv-db01 (.12). Le nom de l’interface peut varier (enp0s8, enp0s3…) ; vérifiez-le avec la commande « ip 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 — adresse IP fixe</w:t>
            </w:r>
          </w:p>
          <w:p>
            <w:pPr>
              <w:spacing w:after="0" w:line="240"/>
            </w:pPr>
            <w:r>
              <w:rPr>
                <w:rFonts w:ascii="Consolas" w:cs="Consolas" w:eastAsia="Consolas" w:hAnsi="Consolas"/>
                <w:color w:val="E6EDF3"/>
                <w:sz w:val="17"/>
                <w:szCs w:val="17"/>
              </w:rPr>
              <w:t xml:space="preserve"># Fixer l’adresse statique sur l’interface Host-Only (srv-monitor)</w:t>
            </w:r>
          </w:p>
          <w:p>
            <w:pPr>
              <w:spacing w:after="0" w:line="240"/>
            </w:pPr>
            <w:r>
              <w:rPr>
                <w:rFonts w:ascii="Consolas" w:cs="Consolas" w:eastAsia="Consolas" w:hAnsi="Consolas"/>
                <w:color w:val="E6EDF3"/>
                <w:sz w:val="17"/>
                <w:szCs w:val="17"/>
              </w:rPr>
              <w:t xml:space="preserve"># Fichier : /etc/network/interfaces.d/host-only</w:t>
            </w:r>
          </w:p>
          <w:p>
            <w:pPr>
              <w:spacing w:after="0" w:line="240"/>
            </w:pPr>
            <w:r>
              <w:rPr>
                <w:rFonts w:ascii="Consolas" w:cs="Consolas" w:eastAsia="Consolas" w:hAnsi="Consolas"/>
                <w:color w:val="E6EDF3"/>
                <w:sz w:val="17"/>
                <w:szCs w:val="17"/>
              </w:rPr>
              <w:t xml:space="preserve">auto enp0s8</w:t>
            </w:r>
          </w:p>
          <w:p>
            <w:pPr>
              <w:spacing w:after="0" w:line="240"/>
            </w:pPr>
            <w:r>
              <w:rPr>
                <w:rFonts w:ascii="Consolas" w:cs="Consolas" w:eastAsia="Consolas" w:hAnsi="Consolas"/>
                <w:color w:val="E6EDF3"/>
                <w:sz w:val="17"/>
                <w:szCs w:val="17"/>
              </w:rPr>
              <w:t xml:space="preserve">iface enp0s8 inet static</w:t>
            </w:r>
          </w:p>
          <w:p>
            <w:pPr>
              <w:spacing w:after="0" w:line="240"/>
            </w:pPr>
            <w:r>
              <w:rPr>
                <w:rFonts w:ascii="Consolas" w:cs="Consolas" w:eastAsia="Consolas" w:hAnsi="Consolas"/>
                <w:color w:val="E6EDF3"/>
                <w:sz w:val="17"/>
                <w:szCs w:val="17"/>
              </w:rPr>
              <w:t xml:space="preserve">    address 192.168.56.10      # .11 pour srv-web01, .12 pour srv-db01</w:t>
            </w:r>
          </w:p>
          <w:p>
            <w:pPr>
              <w:spacing w:after="0" w:line="240"/>
            </w:pPr>
            <w:r>
              <w:rPr>
                <w:rFonts w:ascii="Consolas" w:cs="Consolas" w:eastAsia="Consolas" w:hAnsi="Consolas"/>
                <w:color w:val="E6EDF3"/>
                <w:sz w:val="17"/>
                <w:szCs w:val="17"/>
              </w:rPr>
              <w:t xml:space="preserve">    netmask 255.255.255.0</w:t>
            </w:r>
          </w:p>
        </w:tc>
      </w:tr>
    </w:tbl>
    <w:p>
      <w:pPr>
        <w:spacing w:after="140" w:line="276"/>
        <w:jc w:val="both"/>
      </w:pPr>
      <w:r>
        <w:t xml:space="preserve">Définissez ensuite un nom d’hôte explicite et renseignez le fichier hosts de chaque machine pour que les serveurs se reconnaissent par leur nom, ce qui facilite la lecture des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 — noms d’hôte</w:t>
            </w:r>
          </w:p>
          <w:p>
            <w:pPr>
              <w:spacing w:after="0" w:line="240"/>
            </w:pPr>
            <w:r>
              <w:rPr>
                <w:rFonts w:ascii="Consolas" w:cs="Consolas" w:eastAsia="Consolas" w:hAnsi="Consolas"/>
                <w:color w:val="E6EDF3"/>
                <w:sz w:val="17"/>
                <w:szCs w:val="17"/>
              </w:rPr>
              <w:t xml:space="preserve"># Définir le nom d’hôte (à adapter sur chaque VM)</w:t>
            </w:r>
          </w:p>
          <w:p>
            <w:pPr>
              <w:spacing w:after="0" w:line="240"/>
            </w:pPr>
            <w:r>
              <w:rPr>
                <w:rFonts w:ascii="Consolas" w:cs="Consolas" w:eastAsia="Consolas" w:hAnsi="Consolas"/>
                <w:color w:val="E6EDF3"/>
                <w:sz w:val="17"/>
                <w:szCs w:val="17"/>
              </w:rPr>
              <w:t xml:space="preserve"># hostnamectl set-hostname srv-monitor</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/etc/hosts — résolution locale des trois nœuds</w:t>
            </w:r>
          </w:p>
          <w:p>
            <w:pPr>
              <w:spacing w:after="0" w:line="240"/>
            </w:pPr>
            <w:r>
              <w:rPr>
                <w:rFonts w:ascii="Consolas" w:cs="Consolas" w:eastAsia="Consolas" w:hAnsi="Consolas"/>
                <w:color w:val="E6EDF3"/>
                <w:sz w:val="17"/>
                <w:szCs w:val="17"/>
              </w:rPr>
              <w:t xml:space="preserve">192.168.56.10   srv-monitor</w:t>
            </w:r>
          </w:p>
          <w:p>
            <w:pPr>
              <w:spacing w:after="0" w:line="240"/>
            </w:pPr>
            <w:r>
              <w:rPr>
                <w:rFonts w:ascii="Consolas" w:cs="Consolas" w:eastAsia="Consolas" w:hAnsi="Consolas"/>
                <w:color w:val="E6EDF3"/>
                <w:sz w:val="17"/>
                <w:szCs w:val="17"/>
              </w:rPr>
              <w:t xml:space="preserve">192.168.56.11   srv-web01</w:t>
            </w:r>
          </w:p>
          <w:p>
            <w:pPr>
              <w:spacing w:after="0" w:line="240"/>
            </w:pPr>
            <w:r>
              <w:rPr>
                <w:rFonts w:ascii="Consolas" w:cs="Consolas" w:eastAsia="Consolas" w:hAnsi="Consolas"/>
                <w:color w:val="E6EDF3"/>
                <w:sz w:val="17"/>
                <w:szCs w:val="17"/>
              </w:rPr>
              <w:t xml:space="preserve">192.168.56.12   srv-db01</w:t>
            </w:r>
          </w:p>
        </w:tc>
      </w:tr>
    </w:tbl>
    <w:p>
      <w:pPr>
        <w:spacing w:after="140" w:line="276"/>
        <w:jc w:val="both"/>
      </w:pPr>
      <w:r>
        <w:t xml:space="preserve">Vérifiez enfin que chaque machine peut joindre les deux autres avec « ping », puis redémarrez le service réseau pour appliquer 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2 — Connectivité entre les nœuds</w:t>
            </w:r>
          </w:p>
          <w:p>
            <w:pPr>
              <w:spacing w:after="40"/>
              <w:jc w:val="center"/>
            </w:pPr>
            <w:r>
              <w:rPr>
                <w:i/>
                <w:iCs/>
                <w:color w:val="555555"/>
                <w:sz w:val="19"/>
                <w:szCs w:val="19"/>
              </w:rPr>
              <w:t xml:space="preserve">Capturer un terminal montrant un ping réussi de srv-monitor vers srv-web01 et srv-db01.</w:t>
            </w:r>
          </w:p>
          <w:p>
            <w:pPr>
              <w:jc w:val="center"/>
            </w:pPr>
            <w:r>
              <w:rPr>
                <w:color w:val="9DB8D2"/>
                <w:sz w:val="18"/>
                <w:szCs w:val="18"/>
              </w:rPr>
              <w:t xml:space="preserve">[ Insérer la capture d’écran ici ]</w:t>
            </w:r>
          </w:p>
        </w:tc>
      </w:tr>
    </w:tbl>
    <w:p>
      <w:pPr>
        <w:pStyle w:val="Heading1"/>
      </w:pPr>
      <w:r>
        <w:t xml:space="preserve">5. Déploiement du serveur de supervision (srv-monitor)</w:t>
      </w:r>
    </w:p>
    <w:p>
      <w:pPr>
        <w:spacing w:after="140" w:line="276"/>
        <w:jc w:val="both"/>
      </w:pPr>
      <w:r>
        <w:t xml:space="preserve">Le serveur srv-monitor accueille Prometheus, AlertManager, Grafana et son propre Node Exporter. Les scripts fournis automatisent ces installations. Transférez d’abord le dossier du projet sur la VM, puis exécutez les scripts dans l’ordre indiqué.</w:t>
      </w:r>
    </w:p>
    <w:p>
      <w:pPr>
        <w:pStyle w:val="Heading2"/>
      </w:pPr>
      <w:r>
        <w:t xml:space="preserve">5.1. Prometheus et AlertManager</w:t>
      </w:r>
    </w:p>
    <w:p>
      <w:pPr>
        <w:spacing w:after="140" w:line="276"/>
        <w:jc w:val="both"/>
      </w:pPr>
      <w:r>
        <w:t xml:space="preserve">Le script install_prometheus.sh télécharge Prometheus 2.53 LTS et AlertManager 0.27, crée les comptes de service dédiés, met en place les fichiers de configuration et les unités systemd, puis vérifie la validité des règles avec promtool.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Sur srv-monitor, depuis le dossier du projet</w:t>
            </w:r>
          </w:p>
          <w:p>
            <w:pPr>
              <w:spacing w:after="0" w:line="240"/>
            </w:pPr>
            <w:r>
              <w:rPr>
                <w:rFonts w:ascii="Consolas" w:cs="Consolas" w:eastAsia="Consolas" w:hAnsi="Consolas"/>
                <w:color w:val="E6EDF3"/>
                <w:sz w:val="17"/>
                <w:szCs w:val="17"/>
              </w:rPr>
              <w:t xml:space="preserve">$ cd projet01-monitoring</w:t>
            </w:r>
          </w:p>
          <w:p>
            <w:pPr>
              <w:spacing w:after="0" w:line="240"/>
            </w:pPr>
            <w:r>
              <w:rPr>
                <w:rFonts w:ascii="Consolas" w:cs="Consolas" w:eastAsia="Consolas" w:hAnsi="Consolas"/>
                <w:color w:val="E6EDF3"/>
                <w:sz w:val="17"/>
                <w:szCs w:val="17"/>
              </w:rPr>
              <w:t xml:space="preserve">$ sudo bash scripts/install_prometheus.sh</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Vérifier que les services sont actifs</w:t>
            </w:r>
          </w:p>
          <w:p>
            <w:pPr>
              <w:spacing w:after="0" w:line="240"/>
            </w:pPr>
            <w:r>
              <w:rPr>
                <w:rFonts w:ascii="Consolas" w:cs="Consolas" w:eastAsia="Consolas" w:hAnsi="Consolas"/>
                <w:color w:val="E6EDF3"/>
                <w:sz w:val="17"/>
                <w:szCs w:val="17"/>
              </w:rPr>
              <w:t xml:space="preserve">$ systemctl status prometheus alertmanager</w:t>
            </w:r>
          </w:p>
        </w:tc>
      </w:tr>
    </w:tbl>
    <w:p>
      <w:pPr>
        <w:spacing w:after="140" w:line="276"/>
        <w:jc w:val="both"/>
      </w:pPr>
      <w:r>
        <w:t xml:space="preserve">Une fois le service démarré, l’interface de Prometheus est accessible depuis le navigateur de l’hôte Windows à l’adresse http://192.168.56.10:9090. La page « Status → Targets » doit montrer les cibles surveillées.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3 — Cibles Prometheus</w:t>
            </w:r>
          </w:p>
          <w:p>
            <w:pPr>
              <w:spacing w:after="40"/>
              <w:jc w:val="center"/>
            </w:pPr>
            <w:r>
              <w:rPr>
                <w:i/>
                <w:iCs/>
                <w:color w:val="555555"/>
                <w:sz w:val="19"/>
                <w:szCs w:val="19"/>
              </w:rPr>
              <w:t xml:space="preserve">Capturer la page Status → Targets de Prometheus, montrant les cibles à l’état UP.</w:t>
            </w:r>
          </w:p>
          <w:p>
            <w:pPr>
              <w:jc w:val="center"/>
            </w:pPr>
            <w:r>
              <w:rPr>
                <w:color w:val="9DB8D2"/>
                <w:sz w:val="18"/>
                <w:szCs w:val="18"/>
              </w:rPr>
              <w:t xml:space="preserve">[ Insérer la capture d’écran ici ]</w:t>
            </w:r>
          </w:p>
        </w:tc>
      </w:tr>
    </w:tbl>
    <w:p>
      <w:pPr>
        <w:spacing w:after="80"/>
      </w:pPr>
      <w:r>
        <w:t xml:space="preserve"/>
      </w:r>
    </w:p>
    <w:p>
      <w:pPr>
        <w:pStyle w:val="Heading2"/>
      </w:pPr>
      <w:r>
        <w:t xml:space="preserve">5.2. Node Exporter</w:t>
      </w:r>
    </w:p>
    <w:p>
      <w:pPr>
        <w:spacing w:after="140" w:line="276"/>
        <w:jc w:val="both"/>
      </w:pPr>
      <w:r>
        <w:t xml:space="preserve">Le script install_node_exporter.sh installe Node Exporter 1.8.2 en tant que service systemd durci, sous un compte sans privilège. Il est à exécuter sur les trois VM ; commencez par srv-monitor.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À exécuter sur CHACUNE des trois VM</w:t>
            </w:r>
          </w:p>
          <w:p>
            <w:pPr>
              <w:spacing w:after="0" w:line="240"/>
            </w:pPr>
            <w:r>
              <w:rPr>
                <w:rFonts w:ascii="Consolas" w:cs="Consolas" w:eastAsia="Consolas" w:hAnsi="Consolas"/>
                <w:color w:val="E6EDF3"/>
                <w:sz w:val="17"/>
                <w:szCs w:val="17"/>
              </w:rPr>
              <w:t xml:space="preserve">$ sudo bash scripts/install_node_exporter.sh</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Contrôler l’exposition des métriques</w:t>
            </w:r>
          </w:p>
          <w:p>
            <w:pPr>
              <w:spacing w:after="0" w:line="240"/>
            </w:pPr>
            <w:r>
              <w:rPr>
                <w:rFonts w:ascii="Consolas" w:cs="Consolas" w:eastAsia="Consolas" w:hAnsi="Consolas"/>
                <w:color w:val="E6EDF3"/>
                <w:sz w:val="17"/>
                <w:szCs w:val="17"/>
              </w:rPr>
              <w:t xml:space="preserve">$ curl -s localhost:9100/metrics | head</w:t>
            </w:r>
          </w:p>
        </w:tc>
      </w:tr>
    </w:tbl>
    <w:p>
      <w:pPr>
        <w:pStyle w:val="Heading2"/>
      </w:pPr>
      <w:r>
        <w:t xml:space="preserve">5.3. Grafana</w:t>
      </w:r>
    </w:p>
    <w:p>
      <w:pPr>
        <w:spacing w:after="140" w:line="276"/>
        <w:jc w:val="both"/>
      </w:pPr>
      <w:r>
        <w:t xml:space="preserve">Le script install_grafana.sh ajoute le dépôt officiel, installe Grafana, puis déploie le provisionnement « as-code » (source de données, fournisseur de tableaux de bord, règles d’alerte). Au démarrage, Grafana lit automatiquement ces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Sur srv-monitor</w:t>
            </w:r>
          </w:p>
          <w:p>
            <w:pPr>
              <w:spacing w:after="0" w:line="240"/>
            </w:pPr>
            <w:r>
              <w:rPr>
                <w:rFonts w:ascii="Consolas" w:cs="Consolas" w:eastAsia="Consolas" w:hAnsi="Consolas"/>
                <w:color w:val="E6EDF3"/>
                <w:sz w:val="17"/>
                <w:szCs w:val="17"/>
              </w:rPr>
              <w:t xml:space="preserve">$ sudo bash scripts/install_grafana.sh</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Grafana écoute sur le port 3000</w:t>
            </w:r>
          </w:p>
          <w:p>
            <w:pPr>
              <w:spacing w:after="0" w:line="240"/>
            </w:pPr>
            <w:r>
              <w:rPr>
                <w:rFonts w:ascii="Consolas" w:cs="Consolas" w:eastAsia="Consolas" w:hAnsi="Consolas"/>
                <w:color w:val="E6EDF3"/>
                <w:sz w:val="17"/>
                <w:szCs w:val="17"/>
              </w:rPr>
              <w:t xml:space="preserve">$ systemctl status grafana-server</w:t>
            </w:r>
          </w:p>
        </w:tc>
      </w:tr>
    </w:tbl>
    <w:p>
      <w:pPr>
        <w:spacing w:after="140" w:line="276"/>
        <w:jc w:val="both"/>
      </w:pPr>
      <w:r>
        <w:t xml:space="preserve">L’interface de Grafana est alors accessible à http://192.168.56.10:3000 (identifiants par défaut admin / admin, à changer à la première connexion). La source de données Prometheus et le dossier « E-Service Linux » doivent déjà être présents, signe que le provisionnement a réussi.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4 — Source de données provisionnée</w:t>
            </w:r>
          </w:p>
          <w:p>
            <w:pPr>
              <w:spacing w:after="40"/>
              <w:jc w:val="center"/>
            </w:pPr>
            <w:r>
              <w:rPr>
                <w:i/>
                <w:iCs/>
                <w:color w:val="555555"/>
                <w:sz w:val="19"/>
                <w:szCs w:val="19"/>
              </w:rPr>
              <w:t xml:space="preserve">Capturer la page Connections → Data sources de Grafana, montrant la source Prometheus déjà configurée.</w:t>
            </w:r>
          </w:p>
          <w:p>
            <w:pPr>
              <w:jc w:val="center"/>
            </w:pPr>
            <w:r>
              <w:rPr>
                <w:color w:val="9DB8D2"/>
                <w:sz w:val="18"/>
                <w:szCs w:val="18"/>
              </w:rPr>
              <w:t xml:space="preserve">[ Insérer la capture d’écran ici ]</w:t>
            </w:r>
          </w:p>
        </w:tc>
      </w:tr>
    </w:tbl>
    <w:p>
      <w:pPr>
        <w:pStyle w:val="Heading1"/>
      </w:pPr>
      <w:r>
        <w:t xml:space="preserve">6. Déploiement du serveur applicatif (srv-web01)</w:t>
      </w:r>
    </w:p>
    <w:p>
      <w:pPr>
        <w:spacing w:after="140" w:line="276"/>
        <w:jc w:val="both"/>
      </w:pPr>
      <w:r>
        <w:t xml:space="preserve">Le serveur srv-web01 héberge l’application Flask instrumentée, qui produit les métriques RED visualisées dans le tableau de bord Golden Signals. Après avoir installé Node Exporter (section 5.2), exécutez le script de mise en place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Sur srv-web01</w:t>
            </w:r>
          </w:p>
          <w:p>
            <w:pPr>
              <w:spacing w:after="0" w:line="240"/>
            </w:pPr>
            <w:r>
              <w:rPr>
                <w:rFonts w:ascii="Consolas" w:cs="Consolas" w:eastAsia="Consolas" w:hAnsi="Consolas"/>
                <w:color w:val="E6EDF3"/>
                <w:sz w:val="17"/>
                <w:szCs w:val="17"/>
              </w:rPr>
              <w:t xml:space="preserve">$ sudo bash scripts/install_webapp.sh</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L’application est servie par Gunicorn sur le port 8000</w:t>
            </w:r>
          </w:p>
          <w:p>
            <w:pPr>
              <w:spacing w:after="0" w:line="240"/>
            </w:pPr>
            <w:r>
              <w:rPr>
                <w:rFonts w:ascii="Consolas" w:cs="Consolas" w:eastAsia="Consolas" w:hAnsi="Consolas"/>
                <w:color w:val="E6EDF3"/>
                <w:sz w:val="17"/>
                <w:szCs w:val="17"/>
              </w:rPr>
              <w:t xml:space="preserve">$ curl -s localhost:8000/metrics | grep http_requests_total | head</w:t>
            </w:r>
          </w:p>
        </w:tc>
      </w:tr>
    </w:tbl>
    <w:p>
      <w:pPr>
        <w:spacing w:after="140" w:line="276"/>
        <w:jc w:val="both"/>
      </w:pPr>
      <w:r>
        <w:t xml:space="preserve">Le script crée un environnement Python isolé, installe les dépendances (Flask, prometheus-client, Gunicorn) et démarre l’application en tant que service. Pour alimenter les tableaux de bord en données réalistes, lancez le générateur de trafic, qui produit un flux d’environ vingt requêtes par seconde réparties sur les différents points d’accès.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Générer du trafic pour animer les courbes (à laisser tourner)</w:t>
            </w:r>
          </w:p>
          <w:p>
            <w:pPr>
              <w:spacing w:after="0" w:line="240"/>
            </w:pPr>
            <w:r>
              <w:rPr>
                <w:rFonts w:ascii="Consolas" w:cs="Consolas" w:eastAsia="Consolas" w:hAnsi="Consolas"/>
                <w:color w:val="E6EDF3"/>
                <w:sz w:val="17"/>
                <w:szCs w:val="17"/>
              </w:rPr>
              <w:t xml:space="preserve">$ python3 webapp/generer_trafic.py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Pourquoi un générateur de trafic ?</w:t>
            </w:r>
          </w:p>
          <w:p>
            <w:pPr>
              <w:spacing w:after="40" w:line="264"/>
              <w:jc w:val="both"/>
            </w:pPr>
            <w:r>
              <w:rPr>
                <w:sz w:val="20"/>
                <w:szCs w:val="20"/>
              </w:rPr>
              <w:t xml:space="preserve">Sans requêtes, les métriques de latence et de taux d’erreurs restent plates. Le générateur simule une activité utilisateur pour que les panneaux Golden Signals affichent des courbes vivantes pendant la démonstration. Laissez-le tourner dans un terminal séparé.</w:t>
            </w:r>
          </w:p>
        </w:tc>
      </w:tr>
    </w:tbl>
    <w:p>
      <w:pPr>
        <w:pStyle w:val="Heading1"/>
      </w:pPr>
      <w:r>
        <w:t xml:space="preserve">7. Déploiement du serveur de base de données (srv-db01)</w:t>
      </w:r>
    </w:p>
    <w:p>
      <w:pPr>
        <w:spacing w:after="140" w:line="276"/>
        <w:jc w:val="both"/>
      </w:pPr>
      <w:r>
        <w:t xml:space="preserve">Le serveur srv-db01 héberge PostgreSQL et son exporter, postgres_exporter, qui expose les métriques de la base sur le port 9187. Après l’installation de Node Exporter (section 5.2), installez PostgreSQL depuis les dépôts Debian, créez un compte de supervision en lecture seule, puis déployez l’exporter.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Sur srv-db01 — installation de PostgreSQL</w:t>
            </w:r>
          </w:p>
          <w:p>
            <w:pPr>
              <w:spacing w:after="0" w:line="240"/>
            </w:pPr>
            <w:r>
              <w:rPr>
                <w:rFonts w:ascii="Consolas" w:cs="Consolas" w:eastAsia="Consolas" w:hAnsi="Consolas"/>
                <w:color w:val="E6EDF3"/>
                <w:sz w:val="17"/>
                <w:szCs w:val="17"/>
              </w:rPr>
              <w:t xml:space="preserve">$ sudo apt update &amp;&amp; sudo apt install -y postgresql</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Créer un rôle de supervision (lecture des statistiques)</w:t>
            </w:r>
          </w:p>
          <w:p>
            <w:pPr>
              <w:spacing w:after="0" w:line="240"/>
            </w:pPr>
            <w:r>
              <w:rPr>
                <w:rFonts w:ascii="Consolas" w:cs="Consolas" w:eastAsia="Consolas" w:hAnsi="Consolas"/>
                <w:color w:val="E6EDF3"/>
                <w:sz w:val="17"/>
                <w:szCs w:val="17"/>
              </w:rPr>
              <w:t xml:space="preserve">$ sudo -u postgres psql -c "CREATE USER exporter PASSWORD '&lt;mot_de_passe&gt;';"</w:t>
            </w:r>
          </w:p>
          <w:p>
            <w:pPr>
              <w:spacing w:after="0" w:line="240"/>
            </w:pPr>
            <w:r>
              <w:rPr>
                <w:rFonts w:ascii="Consolas" w:cs="Consolas" w:eastAsia="Consolas" w:hAnsi="Consolas"/>
                <w:color w:val="E6EDF3"/>
                <w:sz w:val="17"/>
                <w:szCs w:val="17"/>
              </w:rPr>
              <w:t xml:space="preserve">$ sudo -u postgres psql -c "GRANT pg_monitor TO exporter;"</w:t>
            </w:r>
          </w:p>
        </w:tc>
      </w:tr>
    </w:tbl>
    <w:p>
      <w:pPr>
        <w:spacing w:after="140" w:line="276"/>
        <w:jc w:val="both"/>
      </w:pPr>
      <w:r>
        <w:t xml:space="preserve">Une fois postgres_exporter démarré, Prometheus collecte automatiquement ses métriques, puisque la cible figure déjà dans le fichier de configuration prometheus.yml. Vérifiez l’apparition de la nouvelle cible dans la page « Targets ».</w:t>
      </w:r>
    </w:p>
    <w:p>
      <w:pPr>
        <w:pStyle w:val="Heading1"/>
      </w:pPr>
      <w:r>
        <w:t xml:space="preserve">8. Tableaux de bord et alertes</w:t>
      </w:r>
    </w:p>
    <w:p>
      <w:pPr>
        <w:pStyle w:val="Heading2"/>
      </w:pPr>
      <w:r>
        <w:t xml:space="preserve">8.1. Vérification des tableaux de bord</w:t>
      </w:r>
    </w:p>
    <w:p>
      <w:pPr>
        <w:spacing w:after="140" w:line="276"/>
        <w:jc w:val="both"/>
      </w:pPr>
      <w:r>
        <w:t xml:space="preserve">Grâce au provisionnement, les deux tableaux de bord sont déjà chargés dans le dossier « E-Service Linux » de Grafana. Ouvrez-les successivement, sélectionnez un environnement et une instance dans les variables en haut de page, et constatez l’affichage des courbes. Le tableau USE doit montrer l’état de l’infrastructure, le tableau Golden Signals la santé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5 — Tableau de bord USE complet</w:t>
            </w:r>
          </w:p>
          <w:p>
            <w:pPr>
              <w:spacing w:after="40"/>
              <w:jc w:val="center"/>
            </w:pPr>
            <w:r>
              <w:rPr>
                <w:i/>
                <w:iCs/>
                <w:color w:val="555555"/>
                <w:sz w:val="19"/>
                <w:szCs w:val="19"/>
              </w:rPr>
              <w:t xml:space="preserve">Capturer le tableau USE avec ses jauges CPU/RAM/disque, la carte de chaleur et les courbes de charge.</w:t>
            </w:r>
          </w:p>
          <w:p>
            <w:pPr>
              <w:jc w:val="center"/>
            </w:pPr>
            <w:r>
              <w:rPr>
                <w:color w:val="9DB8D2"/>
                <w:sz w:val="18"/>
                <w:szCs w:val="18"/>
              </w:rPr>
              <w:t xml:space="preserve">[ Insérer la capture d’écran ici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6 — Tableau de bord Golden Signals complet</w:t>
            </w:r>
          </w:p>
          <w:p>
            <w:pPr>
              <w:spacing w:after="40"/>
              <w:jc w:val="center"/>
            </w:pPr>
            <w:r>
              <w:rPr>
                <w:i/>
                <w:iCs/>
                <w:color w:val="555555"/>
                <w:sz w:val="19"/>
                <w:szCs w:val="19"/>
              </w:rPr>
              <w:t xml:space="preserve">Capturer le tableau Golden Signals avec la latence P95, le trafic et le taux d’erreurs, générateur de trafic actif.</w:t>
            </w:r>
          </w:p>
          <w:p>
            <w:pPr>
              <w:jc w:val="center"/>
            </w:pPr>
            <w:r>
              <w:rPr>
                <w:color w:val="9DB8D2"/>
                <w:sz w:val="18"/>
                <w:szCs w:val="18"/>
              </w:rPr>
              <w:t xml:space="preserve">[ Insérer la capture d’écran ici ]</w:t>
            </w:r>
          </w:p>
        </w:tc>
      </w:tr>
    </w:tbl>
    <w:p>
      <w:pPr>
        <w:spacing w:after="80"/>
      </w:pPr>
      <w:r>
        <w:t xml:space="preserve"/>
      </w:r>
    </w:p>
    <w:p>
      <w:pPr>
        <w:pStyle w:val="Heading2"/>
      </w:pPr>
      <w:r>
        <w:t xml:space="preserve">8.2. Vérification des alertes</w:t>
      </w:r>
    </w:p>
    <w:p>
      <w:pPr>
        <w:spacing w:after="140" w:line="276"/>
        <w:jc w:val="both"/>
      </w:pPr>
      <w:r>
        <w:t xml:space="preserve">Les cinq règles d’alerte natives sont provisionnées dans Grafana. Ouvrez « Alerting → Alert rules » pour les visualiser et constater leur état (Normal, Pending ou Firing). Pour valider concrètement le déclenchement, vous pouvez provoquer une charge artificielle, par exemple en saturant le processeur d’une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bash</w:t>
            </w:r>
          </w:p>
          <w:p>
            <w:pPr>
              <w:spacing w:after="0" w:line="240"/>
            </w:pPr>
            <w:r>
              <w:rPr>
                <w:rFonts w:ascii="Consolas" w:cs="Consolas" w:eastAsia="Consolas" w:hAnsi="Consolas"/>
                <w:color w:val="E6EDF3"/>
                <w:sz w:val="17"/>
                <w:szCs w:val="17"/>
              </w:rPr>
              <w:t xml:space="preserve"># Provoquer une charge CPU pour déclencher l’alerte (sur une VM cible)</w:t>
            </w:r>
          </w:p>
          <w:p>
            <w:pPr>
              <w:spacing w:after="0" w:line="240"/>
            </w:pPr>
            <w:r>
              <w:rPr>
                <w:rFonts w:ascii="Consolas" w:cs="Consolas" w:eastAsia="Consolas" w:hAnsi="Consolas"/>
                <w:color w:val="E6EDF3"/>
                <w:sz w:val="17"/>
                <w:szCs w:val="17"/>
              </w:rPr>
              <w:t xml:space="preserve"># yes occupe un cœur à 100 % ; Ctrl+C pour arrêter</w:t>
            </w:r>
          </w:p>
          <w:p>
            <w:pPr>
              <w:spacing w:after="0" w:line="240"/>
            </w:pPr>
            <w:r>
              <w:rPr>
                <w:rFonts w:ascii="Consolas" w:cs="Consolas" w:eastAsia="Consolas" w:hAnsi="Consolas"/>
                <w:color w:val="E6EDF3"/>
                <w:sz w:val="17"/>
                <w:szCs w:val="17"/>
              </w:rPr>
              <w:t xml:space="preserve">$ yes &gt; /dev/null &amp;</w:t>
            </w:r>
          </w:p>
          <w:p>
            <w:pPr>
              <w:spacing w:after="0" w:line="240"/>
            </w:pPr>
            <w:r>
              <w:rPr>
                <w:rFonts w:ascii="Consolas" w:cs="Consolas" w:eastAsia="Consolas" w:hAnsi="Consolas"/>
                <w:color w:val="E6EDF3"/>
                <w:sz w:val="17"/>
                <w:szCs w:val="17"/>
              </w:rPr>
              <w:t xml:space="preserve">$ yes &gt; /dev/null &amp;</w:t>
            </w:r>
          </w:p>
        </w:tc>
      </w:tr>
    </w:tbl>
    <w:p>
      <w:pPr>
        <w:spacing w:after="140" w:line="276"/>
        <w:jc w:val="both"/>
      </w:pPr>
      <w:r>
        <w:t xml:space="preserve">Après quelques minutes (le temps imposé par la clause « for »), l’alerte d’utilisation CPU passe à l’état déclenché et une notification est envoyée vers le canal Slack configuré. Pensez ensuite à arrêter les processus de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7 — Alerte déclenchée et notification Slack</w:t>
            </w:r>
          </w:p>
          <w:p>
            <w:pPr>
              <w:spacing w:after="40"/>
              <w:jc w:val="center"/>
            </w:pPr>
            <w:r>
              <w:rPr>
                <w:i/>
                <w:iCs/>
                <w:color w:val="555555"/>
                <w:sz w:val="19"/>
                <w:szCs w:val="19"/>
              </w:rPr>
              <w:t xml:space="preserve">Capturer la règle à l’état Firing dans Grafana, et la notification reçue dans le canal Slack #monitoring ou #incidents.</w:t>
            </w:r>
          </w:p>
          <w:p>
            <w:pPr>
              <w:jc w:val="center"/>
            </w:pPr>
            <w:r>
              <w:rPr>
                <w:color w:val="9DB8D2"/>
                <w:sz w:val="18"/>
                <w:szCs w:val="18"/>
              </w:rPr>
              <w:t xml:space="preserve">[ Insérer la capture d’écran ici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Secrets à renseigner</w:t>
            </w:r>
          </w:p>
          <w:p>
            <w:pPr>
              <w:spacing w:after="40" w:line="264"/>
              <w:jc w:val="both"/>
            </w:pPr>
            <w:r>
              <w:rPr>
                <w:sz w:val="20"/>
                <w:szCs w:val="20"/>
              </w:rPr>
              <w:t xml:space="preserve">Avant de tester les notifications, complétez les marqueurs des fichiers de configuration : l’URL du webhook Slack (dans alertmanager.yml et contactpoints.yaml) ainsi que l’identifiant et le mot de passe SMTP (dans alertmanager.yml). Tant que ces valeurs ne sont pas renseignées, les alertes se déclenchent mais ne sont pas acheminées.</w:t>
            </w:r>
          </w:p>
        </w:tc>
      </w:tr>
    </w:tbl>
    <w:p>
      <w:pPr>
        <w:pStyle w:val="Heading1"/>
      </w:pPr>
      <w:r>
        <w:t xml:space="preserve">9. Plan de démonstration (livrable L5)</w:t>
      </w:r>
    </w:p>
    <w:p>
      <w:pPr>
        <w:spacing w:after="140" w:line="276"/>
        <w:jc w:val="both"/>
      </w:pPr>
      <w:r>
        <w:t xml:space="preserve">La démonstration live dure une vingtaine de minutes et doit montrer la chaîne complète, de la collecte à la notification. La trame suivante propose un déroulé minuté qui couvre tous les points de la grille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rPr>
          <w:tblHeader/>
        </w:trPr>
        <w:tc>
          <w:tcPr>
            <w:tcW w:type="dxa" w:w="13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Durée</w:t>
            </w:r>
          </w:p>
        </w:tc>
        <w:tc>
          <w:tcPr>
            <w:tcW w:type="dxa" w:w="32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Séquence</w:t>
            </w:r>
          </w:p>
        </w:tc>
        <w:tc>
          <w:tcPr>
            <w:tcW w:type="dxa" w:w="48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Points à montrer</w:t>
            </w:r>
          </w:p>
        </w:tc>
      </w:tr>
      <w:tr>
        <w:tc>
          <w:tcPr>
            <w:tcW w:type="dxa" w:w="1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0–3 min</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Présentation de l’architecture</w:t>
            </w:r>
          </w:p>
        </w:tc>
        <w:tc>
          <w:tcPr>
            <w:tcW w:type="dxa" w:w="4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Schéma, rôle des trois VM, chaîne d’observabilité</w:t>
            </w:r>
          </w:p>
        </w:tc>
      </w:tr>
      <w:tr>
        <w:tc>
          <w:tcPr>
            <w:tcW w:type="dxa" w:w="13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3–6 min</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Prometheus</w:t>
            </w:r>
          </w:p>
        </w:tc>
        <w:tc>
          <w:tcPr>
            <w:tcW w:type="dxa" w:w="4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Page Targets, cibles UP, exemple de requête PromQL</w:t>
            </w:r>
          </w:p>
        </w:tc>
      </w:tr>
      <w:tr>
        <w:tc>
          <w:tcPr>
            <w:tcW w:type="dxa" w:w="1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6–11 min</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Tableau de bord USE</w:t>
            </w:r>
          </w:p>
        </w:tc>
        <w:tc>
          <w:tcPr>
            <w:tcW w:type="dxa" w:w="4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Jauges, variables de templating, lecture de l’infrastructure</w:t>
            </w:r>
          </w:p>
        </w:tc>
      </w:tr>
      <w:tr>
        <w:tc>
          <w:tcPr>
            <w:tcW w:type="dxa" w:w="13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11–15 min</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Tableau Golden Signals</w:t>
            </w:r>
          </w:p>
        </w:tc>
        <w:tc>
          <w:tcPr>
            <w:tcW w:type="dxa" w:w="4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Latence P95, trafic, erreurs, générateur actif</w:t>
            </w:r>
          </w:p>
        </w:tc>
      </w:tr>
      <w:tr>
        <w:tc>
          <w:tcPr>
            <w:tcW w:type="dxa" w:w="1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15–18 min</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Alertes</w:t>
            </w:r>
          </w:p>
        </w:tc>
        <w:tc>
          <w:tcPr>
            <w:tcW w:type="dxa" w:w="4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Déclenchement d’une alerte, notification Slack</w:t>
            </w:r>
          </w:p>
        </w:tc>
      </w:tr>
      <w:tr>
        <w:tc>
          <w:tcPr>
            <w:tcW w:type="dxa" w:w="13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18–20 min</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Provisionnement &amp; bilan</w:t>
            </w:r>
          </w:p>
        </w:tc>
        <w:tc>
          <w:tcPr>
            <w:tcW w:type="dxa" w:w="4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Fichiers as-code, pistes d’évolution, questions</w:t>
            </w:r>
          </w:p>
        </w:tc>
      </w:tr>
    </w:tbl>
    <w:p>
      <w:pPr>
        <w:spacing w:after="60"/>
      </w:pPr>
      <w:r>
        <w:t xml:space="preserve"/>
      </w:r>
    </w:p>
    <w:p>
      <w:pPr>
        <w:spacing w:after="140" w:line="276"/>
        <w:jc w:val="both"/>
      </w:pPr>
      <w:r>
        <w:t xml:space="preserve">Préparez la démonstration en lançant le générateur de trafic quelques minutes à l’avance, afin que les courbes soient déjà alimentées au moment de la présentation. Gardez ouverts, dans des onglets distincts, Prometheus, les deux tableaux de bord et la page des alertes, pour enchaîner sans temps mort.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Conseil pour la soutenance</w:t>
            </w:r>
          </w:p>
          <w:p>
            <w:pPr>
              <w:spacing w:after="40" w:line="264"/>
              <w:jc w:val="both"/>
            </w:pPr>
            <w:r>
              <w:rPr>
                <w:sz w:val="20"/>
                <w:szCs w:val="20"/>
              </w:rPr>
              <w:t xml:space="preserve">Racontez une histoire plutôt que d’énumérer des écrans : partez d’un symptôme (une latence qui grimpe, un CPU qui sature), montrez comment le tableau de bord le révèle, puis comment l’alerte le signale. C’est la démarche d’observabilité — du « quoi » au « pourquoi » — qui valorise le travail.</w:t>
            </w:r>
          </w:p>
        </w:tc>
      </w:tr>
    </w:tbl>
    <w:p>
      <w:pPr>
        <w:pStyle w:val="Heading1"/>
      </w:pPr>
      <w:r>
        <w:t xml:space="preserve">10. Conclusion</w:t>
      </w:r>
    </w:p>
    <w:p>
      <w:pPr>
        <w:spacing w:after="140" w:line="276"/>
        <w:jc w:val="both"/>
      </w:pPr>
      <w:r>
        <w:t xml:space="preserve">En suivant ce guide, vous obtenez une plateforme de supervision complète et fonctionnelle, déployée sur trois machines virtuelles et entièrement reproductible. Chaque brique — Prometheus, Node Exporter, Grafana, AlertManager, application instrumentée, base de données — a été installée, configurée et vérifiée, et les zones de capture vous permettent de documenter chacune des preuves attendues par les livrables.</w:t>
      </w:r>
    </w:p>
    <w:p>
      <w:pPr>
        <w:spacing w:after="140" w:line="276"/>
        <w:jc w:val="both"/>
      </w:pPr>
      <w:r>
        <w:t xml:space="preserve">L’automatisation par scripts et le provisionnement « as-code » garantissent que l’ensemble peut être reconstruit à l’identique, ce qui est précieux aussi bien pour la démonstration que pour une éventuelle reprise du travail. Les pistes d’approfondissement — ajout des journaux et des traces, automatisation de l’escalade — sont décrites dans le rapport d’architecture qui complète ce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Projet 01 — Guide de déploiement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2026-06-11T13:45:24.086Z</dcterms:created>
  <dcterms:modified xsi:type="dcterms:W3CDTF">2026-06-11T13:45:24.086Z</dcterms:modified>
</cp:coreProperties>
</file>

<file path=docProps/custom.xml><?xml version="1.0" encoding="utf-8"?>
<Properties xmlns="http://schemas.openxmlformats.org/officeDocument/2006/custom-properties" xmlns:vt="http://schemas.openxmlformats.org/officeDocument/2006/docPropsVTypes"/>
</file>