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rtl w:val="0"/>
        </w:rPr>
        <w:t xml:space="preserve">ENGENHARIA DE SOFTWARE</w:t>
      </w: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 7º PERÍODO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rtl w:val="0"/>
        </w:rPr>
        <w:t xml:space="preserve">Gilmar Luiz de Borba</w:t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g6nr81xnwjj7" w:id="0"/>
      <w:bookmarkEnd w:id="0"/>
      <w:r w:rsidDel="00000000" w:rsidR="00000000" w:rsidRPr="00000000">
        <w:rPr>
          <w:rtl w:val="0"/>
        </w:rPr>
        <w:t xml:space="preserve">O Padrão de Projeto Chain of Responsibility: </w:t>
      </w:r>
      <w:r w:rsidDel="00000000" w:rsidR="00000000" w:rsidRPr="00000000">
        <w:rPr>
          <w:color w:val="000000"/>
          <w:rtl w:val="0"/>
        </w:rPr>
        <w:t xml:space="preserve">Uma Jornada pela Fluidez de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ld Standard TT" w:cs="Old Standard TT" w:eastAsia="Old Standard TT" w:hAnsi="Old Standard TT"/>
        </w:rPr>
      </w:pPr>
      <w:r w:rsidDel="00000000" w:rsidR="00000000" w:rsidRPr="00000000">
        <w:rPr>
          <w:rFonts w:ascii="Old Standard TT" w:cs="Old Standard TT" w:eastAsia="Old Standard TT" w:hAnsi="Old Standard TT"/>
          <w:b w:val="1"/>
          <w:sz w:val="22"/>
          <w:szCs w:val="22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oxd7kpxzjw3" w:id="1"/>
      <w:bookmarkEnd w:id="1"/>
      <w:r w:rsidDel="00000000" w:rsidR="00000000" w:rsidRPr="00000000">
        <w:rPr>
          <w:rtl w:val="0"/>
        </w:rPr>
        <w:t xml:space="preserve">Thiago Henrique Gomes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PT Serif" w:cs="PT Serif" w:eastAsia="PT Serif" w:hAnsi="PT Serif"/>
        </w:rPr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</w:rPr>
      </w:pPr>
      <w:bookmarkStart w:colFirst="0" w:colLast="0" w:name="_ezioxomjx0vv" w:id="2"/>
      <w:bookmarkEnd w:id="2"/>
      <w:r w:rsidDel="00000000" w:rsidR="00000000" w:rsidRPr="00000000">
        <w:rPr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Olá a todos! Hoje, vamos explorar um dos padrões de projeto comportamental mais versáteis e poderosos: Chain of Responsibility. Este padrão nos permite criar cadeias de objetos que processam uma requisição, dando a cada objeto a chance de manipular a requisição, antes de passá-la para o próximo objeto na cadeia.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ld Standard TT" w:cs="Old Standard TT" w:eastAsia="Old Standard TT" w:hAnsi="Old Standard TT"/>
          <w:sz w:val="28"/>
          <w:szCs w:val="28"/>
        </w:rPr>
      </w:pPr>
      <w:bookmarkStart w:colFirst="0" w:colLast="0" w:name="_owurcdmex9tk" w:id="3"/>
      <w:bookmarkEnd w:id="3"/>
      <w:r w:rsidDel="00000000" w:rsidR="00000000" w:rsidRPr="00000000">
        <w:rPr>
          <w:rtl w:val="0"/>
        </w:rPr>
        <w:t xml:space="preserve">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Imagine um sistema de aprovação de empréstimos. Cada solicitação passa por uma série de verificadores: análise de crédito, verificação de renda, avaliação de risco. Cada verificador tem sua responsabilidade específica e pode aprovar ou rejeitar a solicitação.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 padrão Chain of Responsibility permite modelar esse cenário de forma elegante e flexível. Ele define: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xy152ef5lbcz" w:id="4"/>
      <w:bookmarkEnd w:id="4"/>
      <w:r w:rsidDel="00000000" w:rsidR="00000000" w:rsidRPr="00000000">
        <w:rPr>
          <w:rtl w:val="0"/>
        </w:rPr>
        <w:t xml:space="preserve">Manipulador (Handler)</w:t>
        <w:br w:type="textWrapping"/>
        <w:br w:type="textWrapping"/>
      </w:r>
      <w:r w:rsidDel="00000000" w:rsidR="00000000" w:rsidRPr="00000000">
        <w:rPr>
          <w:rFonts w:ascii="PT Serif" w:cs="PT Serif" w:eastAsia="PT Serif" w:hAnsi="PT Serif"/>
          <w:b w:val="0"/>
          <w:color w:val="000000"/>
          <w:sz w:val="22"/>
          <w:szCs w:val="22"/>
          <w:rtl w:val="0"/>
        </w:rPr>
        <w:t xml:space="preserve">Uma interface que define o método para lidar com uma requisição.</w:t>
        <w:br w:type="textWrapping"/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f9f30nd5svp" w:id="5"/>
      <w:bookmarkEnd w:id="5"/>
      <w:r w:rsidDel="00000000" w:rsidR="00000000" w:rsidRPr="00000000">
        <w:rPr>
          <w:rtl w:val="0"/>
        </w:rPr>
        <w:t xml:space="preserve">Concreto Manipulador (Concrete Handler)</w:t>
        <w:br w:type="textWrapping"/>
        <w:br w:type="textWrapping"/>
      </w:r>
      <w:r w:rsidDel="00000000" w:rsidR="00000000" w:rsidRPr="00000000">
        <w:rPr>
          <w:rFonts w:ascii="PT Serif" w:cs="PT Serif" w:eastAsia="PT Serif" w:hAnsi="PT Serif"/>
          <w:b w:val="0"/>
          <w:color w:val="000000"/>
          <w:sz w:val="22"/>
          <w:szCs w:val="22"/>
          <w:rtl w:val="0"/>
        </w:rPr>
        <w:t xml:space="preserve">Classes que implementam a interface Manipulador e realizam o processamento específico da requisição.</w:t>
        <w:br w:type="textWrapping"/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1"/>
        </w:numPr>
        <w:spacing w:before="0" w:beforeAutospacing="0"/>
        <w:ind w:left="720" w:hanging="360"/>
        <w:rPr>
          <w:rFonts w:ascii="Old Standard TT" w:cs="Old Standard TT" w:eastAsia="Old Standard TT" w:hAnsi="Old Standard TT"/>
          <w:b w:val="1"/>
          <w:sz w:val="26"/>
          <w:szCs w:val="26"/>
        </w:rPr>
      </w:pPr>
      <w:bookmarkStart w:colFirst="0" w:colLast="0" w:name="_yc2pxi4t9pfz" w:id="6"/>
      <w:bookmarkEnd w:id="6"/>
      <w:r w:rsidDel="00000000" w:rsidR="00000000" w:rsidRPr="00000000">
        <w:rPr>
          <w:rtl w:val="0"/>
        </w:rPr>
        <w:t xml:space="preserve">Cadeia de Responsabilidade (Chain of Responsibility)</w:t>
        <w:br w:type="textWrapping"/>
        <w:br w:type="textWrapping"/>
      </w:r>
      <w:r w:rsidDel="00000000" w:rsidR="00000000" w:rsidRPr="00000000">
        <w:rPr>
          <w:rFonts w:ascii="PT Serif" w:cs="PT Serif" w:eastAsia="PT Serif" w:hAnsi="PT Serif"/>
          <w:b w:val="0"/>
          <w:color w:val="000000"/>
          <w:sz w:val="22"/>
          <w:szCs w:val="22"/>
          <w:rtl w:val="0"/>
        </w:rPr>
        <w:t xml:space="preserve">A estrutura que conecta os manipuladores, permitindo que a requisição seja passada ao longo da cadeia.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ucxaf5zvszr" w:id="7"/>
      <w:bookmarkEnd w:id="7"/>
      <w:r w:rsidDel="00000000" w:rsidR="00000000" w:rsidRPr="00000000">
        <w:rPr>
          <w:rtl w:val="0"/>
        </w:rPr>
        <w:t xml:space="preserve">Exemplo em Java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chainOfResponsibility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s3qvop8719ax" w:id="8"/>
      <w:bookmarkEnd w:id="8"/>
      <w:r w:rsidDel="00000000" w:rsidR="00000000" w:rsidRPr="00000000">
        <w:rPr>
          <w:rtl w:val="0"/>
        </w:rPr>
        <w:t xml:space="preserve">Problema que o pattern resolve: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O pattern Chain of Responsibility resolve o problema de desacoplar o emissor de uma solicitação dos seus processadores, permitindo que diferentes verificadores sejam adicionados ou removidos da cadeia sem afetar o emissor da solicitação. Isso torna o código mais flexível, modular e fácil de manter.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Além disso, o pattern Chain of Responsibility também permite que a responsabilidade seja delegada de forma transparente, sem que o emissor precise saber qual verificador irá processar a solicitação.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703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Exemplo: No código acima, a solicitação de empréstimo é enviada para o </w:t>
      </w:r>
      <w:r w:rsidDel="00000000" w:rsidR="00000000" w:rsidRPr="00000000">
        <w:rPr>
          <w:b w:val="1"/>
          <w:rtl w:val="0"/>
        </w:rPr>
        <w:t xml:space="preserve">VerificadorAnaliseCredito</w:t>
      </w:r>
      <w:r w:rsidDel="00000000" w:rsidR="00000000" w:rsidRPr="00000000">
        <w:rPr>
          <w:rtl w:val="0"/>
        </w:rPr>
        <w:t xml:space="preserve">, que decide se a aprova ou a rejeita. Se for aprovada, a solicitação é passada para o próximo verificador (</w:t>
      </w:r>
      <w:r w:rsidDel="00000000" w:rsidR="00000000" w:rsidRPr="00000000">
        <w:rPr>
          <w:b w:val="1"/>
          <w:rtl w:val="0"/>
        </w:rPr>
        <w:t xml:space="preserve">VerificadorVerificacaoRenda</w:t>
      </w:r>
      <w:r w:rsidDel="00000000" w:rsidR="00000000" w:rsidRPr="00000000">
        <w:rPr>
          <w:rtl w:val="0"/>
        </w:rPr>
        <w:t xml:space="preserve">) e assim por diante. Essa cadeia de responsabilidades pode ser modificada facilmente, adicionando ou removendo verificadores conforme necessário.</w:t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1wfyp7szeh3" w:id="9"/>
      <w:bookmarkEnd w:id="9"/>
      <w:r w:rsidDel="00000000" w:rsidR="00000000" w:rsidRPr="00000000">
        <w:rPr>
          <w:rtl w:val="0"/>
        </w:rPr>
        <w:t xml:space="preserve">Benefícios do Chain of Responsibility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Flexibilidade: Permite adicionar ou remover manipuladores facilmente, sem afetar o código dos outros manipuladores.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Reuso: Os manipuladores podem ser reutilizados em diferentes cadeias de responsabilidade.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Desacoplamento: Os manipuladores não precisam conhecer a estrutura da cadeia, apenas o próximo manipulador.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Manutenção: Facilita a manutenção e atualização do sistema, pois a responsabilidade é bem delimitada.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pojg0ev8zs84" w:id="10"/>
      <w:bookmarkEnd w:id="10"/>
      <w:r w:rsidDel="00000000" w:rsidR="00000000" w:rsidRPr="00000000">
        <w:rPr>
          <w:rtl w:val="0"/>
        </w:rPr>
        <w:t xml:space="preserve">SOLID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O padrão Chain of Responsibility, como implementado no código, demonstra as seguintes boas práticas dos princípios SOLID: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SRP (Single Responsibility Principle):</w:t>
      </w:r>
      <w:r w:rsidDel="00000000" w:rsidR="00000000" w:rsidRPr="00000000">
        <w:rPr>
          <w:rtl w:val="0"/>
        </w:rPr>
        <w:t xml:space="preserve"> Cada classe (</w:t>
      </w:r>
      <w:r w:rsidDel="00000000" w:rsidR="00000000" w:rsidRPr="00000000">
        <w:rPr>
          <w:rtl w:val="0"/>
        </w:rPr>
        <w:t xml:space="preserve">VerificadorBase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VerificadorAnaliseCredito</w:t>
      </w:r>
      <w:r w:rsidDel="00000000" w:rsidR="00000000" w:rsidRPr="00000000">
        <w:rPr>
          <w:rtl w:val="0"/>
        </w:rPr>
        <w:t xml:space="preserve">, VerificadorVerificacaoRenda, VerificadorAvaliacaoRisco) tem uma única responsabilidade bem definida. Cada verificador é responsável por uma etapa específica do processo de aprovação de empréstimos (análise de crédito, verificação de renda, avaliação de risco).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OCP (Open/Closed Principle):</w:t>
      </w:r>
      <w:r w:rsidDel="00000000" w:rsidR="00000000" w:rsidRPr="00000000">
        <w:rPr>
          <w:rtl w:val="0"/>
        </w:rPr>
        <w:t xml:space="preserve"> O sistema é aberto para extensão, mas fechado para modificação. Podemos adicionar novos verificadores à cadeia sem precisar modificar as classes existentes.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LSP (Liskov Substitution Principle): </w:t>
      </w:r>
      <w:r w:rsidDel="00000000" w:rsidR="00000000" w:rsidRPr="00000000">
        <w:rPr>
          <w:rtl w:val="0"/>
        </w:rPr>
        <w:t xml:space="preserve">As subclasses de </w:t>
      </w:r>
      <w:r w:rsidDel="00000000" w:rsidR="00000000" w:rsidRPr="00000000">
        <w:rPr>
          <w:rtl w:val="0"/>
        </w:rPr>
        <w:t xml:space="preserve">VerificadorBase</w:t>
      </w:r>
      <w:r w:rsidDel="00000000" w:rsidR="00000000" w:rsidRPr="00000000">
        <w:rPr>
          <w:rtl w:val="0"/>
        </w:rPr>
        <w:t xml:space="preserve"> (os verificadores específicos) podem ser substituídas por qualquer outra classe que implemente a interface Verificador, garantindo que o comportamento geral da cadeia seja mantido.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ISP (Interface Segregation Principle):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interface Verificador</w:t>
      </w:r>
      <w:r w:rsidDel="00000000" w:rsidR="00000000" w:rsidRPr="00000000">
        <w:rPr>
          <w:rtl w:val="0"/>
        </w:rPr>
        <w:t xml:space="preserve"> define apenas os métodos essenciais para o padrão, evitando a necessidade de métodos irrelevantes.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2dhuxg5gvto" w:id="11"/>
      <w:bookmarkEnd w:id="11"/>
      <w:r w:rsidDel="00000000" w:rsidR="00000000" w:rsidRPr="00000000">
        <w:rPr>
          <w:rtl w:val="0"/>
        </w:rPr>
        <w:t xml:space="preserve">Contra-Indicações (Anti-Patterns)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Cadeias muito longas: Pode tornar o sistema difícil de entender e manter.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Processamento complexo: Se a lógica de cada manipulador for muito complexa, pode complicar o código.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Dificuldade em rastrear a requisição: Pode ser difícil identificar qual manipulador </w:t>
      </w:r>
      <w:r w:rsidDel="00000000" w:rsidR="00000000" w:rsidRPr="00000000">
        <w:rPr>
          <w:rtl w:val="0"/>
        </w:rPr>
        <w:t xml:space="preserve">processou</w:t>
      </w:r>
      <w:r w:rsidDel="00000000" w:rsidR="00000000" w:rsidRPr="00000000">
        <w:rPr>
          <w:rtl w:val="0"/>
        </w:rPr>
        <w:t xml:space="preserve"> a requisição.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y2o0gk4vfm3x" w:id="12"/>
      <w:bookmarkEnd w:id="12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 padrão Chain of Responsibility é uma ferramenta poderosa para lidar com o fluxo de requisições em sistemas complexos, oferecendo flexibilidade, desacoplamento e manutenção simplificada. No entanto, é importante ter cuidado com o design da cadeia para evitar anti-patterns que podem tornar o sistema difícil de entender e manter.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Espero que este seminário tenha sido útil para vocês!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headerReference r:id="rId10" w:type="default"/>
      <w:footerReference r:id="rId11" w:type="first"/>
      <w:pgSz w:h="15840" w:w="12240" w:orient="portrait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13"/>
    <w:bookmarkEnd w:id="13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cantSplit w:val="0"/>
        <w:trHeight w:val="160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pStyle w:val="Heading5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14"/>
          <w:bookmarkEnd w:id="14"/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0" w:hRule="atLeast"/>
        <w:tblHeader w:val="0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pStyle w:val="Heading4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14"/>
          <w:bookmarkEnd w:id="14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4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16"/>
    <w:bookmarkEnd w:id="16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1807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Serif" w:cs="PT Serif" w:eastAsia="PT Serif" w:hAnsi="PT Serif"/>
        <w:sz w:val="22"/>
        <w:szCs w:val="22"/>
        <w:lang w:val="pt_BR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color w:val="01857b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8AzN6GrR5Qe9fYKVBQYQr2QxvKgeo99N?usp=drive_link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