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2128" w14:textId="1451BD5E" w:rsidR="00727850" w:rsidRDefault="00727850" w:rsidP="00727850">
      <w:pPr>
        <w:jc w:val="center"/>
        <w:rPr>
          <w:b/>
          <w:bCs/>
        </w:rPr>
      </w:pPr>
      <w:r>
        <w:rPr>
          <w:b/>
          <w:bCs/>
        </w:rPr>
        <w:t>Reviewing Our Priority Findings</w:t>
      </w:r>
    </w:p>
    <w:p w14:paraId="0420B29B" w14:textId="77777777" w:rsidR="00727850" w:rsidRDefault="00727850">
      <w:pPr>
        <w:rPr>
          <w:b/>
          <w:bCs/>
        </w:rPr>
      </w:pPr>
    </w:p>
    <w:p w14:paraId="47AECCAA" w14:textId="5E14C194" w:rsidR="008B397C" w:rsidRDefault="00727850">
      <w:r w:rsidRPr="00727850">
        <w:rPr>
          <w:b/>
          <w:bCs/>
        </w:rPr>
        <w:t>Booking lead time</w:t>
      </w:r>
      <w:r w:rsidRPr="00727850">
        <w:t xml:space="preserve"> is the strongest observed factor associated with appointment no-shows. No-show rates increased consistently from 30.60% for appointments booked 0–14 days ahead to 67.23% for appointments booked 45–60 days ahead. The association was statistically significant (χ² = 359.38, p &lt; 0.001) and remained evident across appointment type, patient history, distance, and reminder-status segments.</w:t>
      </w:r>
    </w:p>
    <w:p w14:paraId="03EAFD5E" w14:textId="77777777" w:rsidR="00727850" w:rsidRDefault="00727850"/>
    <w:p w14:paraId="40729C22" w14:textId="7668A50F" w:rsidR="00727850" w:rsidRDefault="00727850">
      <w:r w:rsidRPr="00727850">
        <w:rPr>
          <w:b/>
          <w:bCs/>
        </w:rPr>
        <w:t>Previous appointment history</w:t>
      </w:r>
      <w:r w:rsidRPr="00727850">
        <w:t xml:space="preserve"> shows a statistically significant but comparatively modest association with no-show behaviour. No-show rates increased from 42.98% among patients with no previous appointments to 51.66% among those with 5+ previous appointments. However, the effect is substantially weaker than booking lead time, so appointment history should be considered a secondary risk indicator rather than a primary intervention target.</w:t>
      </w:r>
    </w:p>
    <w:p w14:paraId="47387CEB" w14:textId="77777777" w:rsidR="005E1624" w:rsidRDefault="005E1624"/>
    <w:p w14:paraId="40557988" w14:textId="66ED64EF" w:rsidR="005E1624" w:rsidRDefault="005E1624">
      <w:r w:rsidRPr="005E1624">
        <w:rPr>
          <w:b/>
          <w:bCs/>
        </w:rPr>
        <w:t>Previous no-show behaviour</w:t>
      </w:r>
      <w:r w:rsidRPr="005E1624">
        <w:t xml:space="preserve"> is a stronger behavioural risk indicator than total previous appointment count. Its association with current no-show status is statistically significant (χ² = 81.78, p &lt; 0.001), and the risk gradient remains visible across booking lead-time groups. However, sparse higher-history categories require caution.</w:t>
      </w:r>
    </w:p>
    <w:p w14:paraId="0200DA96" w14:textId="77777777" w:rsidR="00727850" w:rsidRDefault="00727850"/>
    <w:p w14:paraId="0ABFEDB3" w14:textId="79ED2CD4" w:rsidR="00727850" w:rsidRDefault="00727850">
      <w:r w:rsidRPr="00727850">
        <w:rPr>
          <w:b/>
          <w:bCs/>
        </w:rPr>
        <w:t>Distance to the clinic</w:t>
      </w:r>
      <w:r w:rsidRPr="00727850">
        <w:t xml:space="preserve"> remains a statistically significant secondary factor associated with no-show behaviour. Patients living 15+ km from the clinic had a 54.09% no-show rate compared with the overall rate of 48.46%. The relationship becomes more pronounced when </w:t>
      </w:r>
      <w:r w:rsidRPr="00727850">
        <w:rPr>
          <w:b/>
          <w:bCs/>
        </w:rPr>
        <w:t>distance is combined with</w:t>
      </w:r>
      <w:r w:rsidRPr="00727850">
        <w:t xml:space="preserve"> </w:t>
      </w:r>
      <w:r w:rsidRPr="00727850">
        <w:rPr>
          <w:b/>
          <w:bCs/>
        </w:rPr>
        <w:t>long booking lead time</w:t>
      </w:r>
      <w:r w:rsidRPr="00727850">
        <w:t>, with the 45–60 day and 15+ km segment recording a 73.00% observed no-show rate.</w:t>
      </w:r>
    </w:p>
    <w:p w14:paraId="533B9419" w14:textId="77777777" w:rsidR="00727850" w:rsidRDefault="00727850"/>
    <w:p w14:paraId="27C46791" w14:textId="3F9A146C" w:rsidR="00727850" w:rsidRDefault="00727850">
      <w:r w:rsidRPr="00727850">
        <w:rPr>
          <w:b/>
          <w:bCs/>
        </w:rPr>
        <w:t>Reminder status</w:t>
      </w:r>
      <w:r w:rsidRPr="00727850">
        <w:t xml:space="preserve"> is significantly associated with appointment no-show behaviour. Appointments receiving a reminder had a 47.36% observed no-show rate compared with 51.39% for appointments without a reminder. The lower rate persisted across all booking lead-time groups and was largest in the 45–60 day group. However, the observational nature of the data prevents a causal conclusion that reminders directly reduce no-shows.</w:t>
      </w:r>
    </w:p>
    <w:p w14:paraId="3F4C4033" w14:textId="77777777" w:rsidR="00727850" w:rsidRDefault="00727850"/>
    <w:p w14:paraId="3AA6CA96" w14:textId="77777777" w:rsidR="00727850" w:rsidRDefault="00727850"/>
    <w:p w14:paraId="1D3E1861" w14:textId="320701BA" w:rsidR="00727850" w:rsidRDefault="00727850" w:rsidP="00727850">
      <w:pPr>
        <w:jc w:val="center"/>
        <w:rPr>
          <w:b/>
          <w:bCs/>
        </w:rPr>
      </w:pPr>
      <w:r w:rsidRPr="00727850">
        <w:rPr>
          <w:b/>
          <w:bCs/>
        </w:rPr>
        <w:t>HealthConnect business actions</w:t>
      </w:r>
    </w:p>
    <w:p w14:paraId="1B0C51E1" w14:textId="77777777" w:rsidR="00727850" w:rsidRDefault="00727850" w:rsidP="00727850">
      <w:pPr>
        <w:rPr>
          <w:b/>
          <w:bCs/>
        </w:rPr>
      </w:pPr>
    </w:p>
    <w:p w14:paraId="268836E6" w14:textId="29E7E7CF" w:rsidR="00727850" w:rsidRDefault="00727850" w:rsidP="00727850">
      <w:pPr>
        <w:rPr>
          <w:b/>
          <w:bCs/>
        </w:rPr>
      </w:pPr>
      <w:r w:rsidRPr="00727850">
        <w:rPr>
          <w:b/>
          <w:bCs/>
        </w:rPr>
        <w:t>Action 1 — Target long-lead appointments</w:t>
      </w:r>
    </w:p>
    <w:p w14:paraId="48AB5A0C" w14:textId="77777777" w:rsidR="00727850" w:rsidRPr="00727850" w:rsidRDefault="00727850" w:rsidP="00727850">
      <w:pPr>
        <w:rPr>
          <w:b/>
          <w:bCs/>
        </w:rPr>
      </w:pPr>
      <w:r w:rsidRPr="00727850">
        <w:rPr>
          <w:b/>
          <w:bCs/>
        </w:rPr>
        <w:t>Evidence:</w:t>
      </w:r>
    </w:p>
    <w:p w14:paraId="70AA5653" w14:textId="77777777" w:rsidR="00727850" w:rsidRPr="00727850" w:rsidRDefault="00727850" w:rsidP="00727850">
      <w:pPr>
        <w:numPr>
          <w:ilvl w:val="0"/>
          <w:numId w:val="1"/>
        </w:numPr>
      </w:pPr>
      <w:r w:rsidRPr="00727850">
        <w:t xml:space="preserve">45–60 day appointments: 67.23% no-show </w:t>
      </w:r>
    </w:p>
    <w:p w14:paraId="51BE916E" w14:textId="77777777" w:rsidR="00727850" w:rsidRPr="00727850" w:rsidRDefault="00727850" w:rsidP="00727850">
      <w:pPr>
        <w:numPr>
          <w:ilvl w:val="0"/>
          <w:numId w:val="1"/>
        </w:numPr>
      </w:pPr>
      <w:r w:rsidRPr="00727850">
        <w:rPr>
          <w:b/>
          <w:bCs/>
        </w:rPr>
        <w:t>Overall</w:t>
      </w:r>
      <w:r w:rsidRPr="00727850">
        <w:t xml:space="preserve">: 48.46% </w:t>
      </w:r>
    </w:p>
    <w:p w14:paraId="16DE1CBA" w14:textId="77777777" w:rsidR="00727850" w:rsidRPr="00727850" w:rsidRDefault="00727850" w:rsidP="00727850">
      <w:pPr>
        <w:numPr>
          <w:ilvl w:val="0"/>
          <w:numId w:val="1"/>
        </w:numPr>
      </w:pPr>
      <w:r w:rsidRPr="00727850">
        <w:lastRenderedPageBreak/>
        <w:t xml:space="preserve">34.71% of all no-shows came from this group. </w:t>
      </w:r>
    </w:p>
    <w:p w14:paraId="6200D765" w14:textId="77777777" w:rsidR="00727850" w:rsidRPr="00727850" w:rsidRDefault="00727850" w:rsidP="00727850">
      <w:pPr>
        <w:rPr>
          <w:b/>
          <w:bCs/>
        </w:rPr>
      </w:pPr>
      <w:r w:rsidRPr="00727850">
        <w:rPr>
          <w:b/>
          <w:bCs/>
        </w:rPr>
        <w:t>Recommended action:</w:t>
      </w:r>
    </w:p>
    <w:p w14:paraId="55543700" w14:textId="77777777" w:rsidR="00727850" w:rsidRDefault="00727850" w:rsidP="00727850">
      <w:r w:rsidRPr="00727850">
        <w:t>Introduce enhanced confirmation and reminder procedures for appointments booked 45–60 days in advance.</w:t>
      </w:r>
    </w:p>
    <w:p w14:paraId="3010BE4A" w14:textId="77777777" w:rsidR="00D40FC4" w:rsidRDefault="00D40FC4" w:rsidP="00727850"/>
    <w:p w14:paraId="27DD470B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Action 2 — Prioritise the highest-risk combination</w:t>
      </w:r>
    </w:p>
    <w:p w14:paraId="6EFB3D7F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Evidence:</w:t>
      </w:r>
    </w:p>
    <w:p w14:paraId="37731C6F" w14:textId="77777777" w:rsidR="00D40FC4" w:rsidRPr="00D40FC4" w:rsidRDefault="00D40FC4" w:rsidP="00D40FC4">
      <w:pPr>
        <w:numPr>
          <w:ilvl w:val="0"/>
          <w:numId w:val="2"/>
        </w:numPr>
      </w:pPr>
      <w:r w:rsidRPr="00D40FC4">
        <w:t xml:space="preserve">45–60 days + 15+ km: 73.00% no-show </w:t>
      </w:r>
    </w:p>
    <w:p w14:paraId="5616AC5C" w14:textId="77777777" w:rsidR="00D40FC4" w:rsidRPr="00D40FC4" w:rsidRDefault="00D40FC4" w:rsidP="00D40FC4">
      <w:pPr>
        <w:numPr>
          <w:ilvl w:val="0"/>
          <w:numId w:val="2"/>
        </w:numPr>
      </w:pPr>
      <w:r w:rsidRPr="00D40FC4">
        <w:t xml:space="preserve">24.54 percentage points above the overall rate. </w:t>
      </w:r>
    </w:p>
    <w:p w14:paraId="3EDF1DB0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Recommended action:</w:t>
      </w:r>
    </w:p>
    <w:p w14:paraId="1082C1BB" w14:textId="77777777" w:rsidR="00D40FC4" w:rsidRPr="00D40FC4" w:rsidRDefault="00D40FC4" w:rsidP="00D40FC4">
      <w:r w:rsidRPr="00D40FC4">
        <w:t>Flag long-lead appointments for patients located 15+ km from the clinic for additional confirmation or proactive outreach.</w:t>
      </w:r>
    </w:p>
    <w:p w14:paraId="5B928CA1" w14:textId="77777777" w:rsidR="00D40FC4" w:rsidRPr="00727850" w:rsidRDefault="00D40FC4" w:rsidP="00727850">
      <w:pPr>
        <w:rPr>
          <w:b/>
          <w:bCs/>
        </w:rPr>
      </w:pPr>
    </w:p>
    <w:p w14:paraId="3EDA8FBA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Action 3 — Use reminders as an intervention to test</w:t>
      </w:r>
    </w:p>
    <w:p w14:paraId="61C8B09B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Evidence:</w:t>
      </w:r>
    </w:p>
    <w:p w14:paraId="6B2C0292" w14:textId="77777777" w:rsidR="00D40FC4" w:rsidRPr="00D40FC4" w:rsidRDefault="00D40FC4" w:rsidP="00D40FC4">
      <w:pPr>
        <w:numPr>
          <w:ilvl w:val="0"/>
          <w:numId w:val="3"/>
        </w:numPr>
      </w:pPr>
      <w:r w:rsidRPr="00D40FC4">
        <w:rPr>
          <w:b/>
          <w:bCs/>
        </w:rPr>
        <w:t>No reminder</w:t>
      </w:r>
      <w:r w:rsidRPr="00D40FC4">
        <w:t xml:space="preserve">: 51.39% </w:t>
      </w:r>
    </w:p>
    <w:p w14:paraId="126B9A32" w14:textId="77777777" w:rsidR="00D40FC4" w:rsidRPr="00D40FC4" w:rsidRDefault="00D40FC4" w:rsidP="00D40FC4">
      <w:pPr>
        <w:numPr>
          <w:ilvl w:val="0"/>
          <w:numId w:val="3"/>
        </w:numPr>
      </w:pPr>
      <w:r w:rsidRPr="00D40FC4">
        <w:rPr>
          <w:b/>
          <w:bCs/>
        </w:rPr>
        <w:t>Reminder</w:t>
      </w:r>
      <w:r w:rsidRPr="00D40FC4">
        <w:t xml:space="preserve">: 47.36% </w:t>
      </w:r>
    </w:p>
    <w:p w14:paraId="45072D15" w14:textId="227843C3" w:rsidR="00D40FC4" w:rsidRPr="00D40FC4" w:rsidRDefault="00D40FC4" w:rsidP="00D40FC4">
      <w:pPr>
        <w:numPr>
          <w:ilvl w:val="0"/>
          <w:numId w:val="3"/>
        </w:numPr>
      </w:pPr>
      <w:r w:rsidRPr="00D40FC4">
        <w:t>Difference: 4.03 p</w:t>
      </w:r>
      <w:r>
        <w:t xml:space="preserve">ercentage </w:t>
      </w:r>
      <w:r w:rsidRPr="00D40FC4">
        <w:t>p</w:t>
      </w:r>
      <w:r>
        <w:t>oints</w:t>
      </w:r>
      <w:r w:rsidRPr="00D40FC4">
        <w:t xml:space="preserve"> </w:t>
      </w:r>
    </w:p>
    <w:p w14:paraId="3F594BF5" w14:textId="77777777" w:rsidR="00D40FC4" w:rsidRPr="00D40FC4" w:rsidRDefault="00D40FC4" w:rsidP="00D40FC4">
      <w:pPr>
        <w:numPr>
          <w:ilvl w:val="0"/>
          <w:numId w:val="3"/>
        </w:numPr>
      </w:pPr>
      <w:r w:rsidRPr="00D40FC4">
        <w:t xml:space="preserve">Statistically significant association: p = 0.012 </w:t>
      </w:r>
    </w:p>
    <w:p w14:paraId="5FC3BADD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Recommended action:</w:t>
      </w:r>
    </w:p>
    <w:p w14:paraId="72E48759" w14:textId="77777777" w:rsidR="00D40FC4" w:rsidRPr="00D40FC4" w:rsidRDefault="00D40FC4" w:rsidP="00D40FC4">
      <w:r w:rsidRPr="00D40FC4">
        <w:t>Maintain and evaluate reminder use, with particular attention to long-lead appointments, while testing whether different reminder strategies produce measurable improvements.</w:t>
      </w:r>
    </w:p>
    <w:p w14:paraId="22E6D7D2" w14:textId="77777777" w:rsidR="00727850" w:rsidRDefault="00727850" w:rsidP="00727850">
      <w:pPr>
        <w:rPr>
          <w:b/>
          <w:bCs/>
        </w:rPr>
      </w:pPr>
    </w:p>
    <w:p w14:paraId="3BB85B16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Action 4 — Treat previous appointment history as secondary</w:t>
      </w:r>
    </w:p>
    <w:p w14:paraId="2A8B3FDA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Evidence:</w:t>
      </w:r>
    </w:p>
    <w:p w14:paraId="3B1D450B" w14:textId="77777777" w:rsidR="00D40FC4" w:rsidRPr="00D40FC4" w:rsidRDefault="00D40FC4" w:rsidP="00D40FC4">
      <w:pPr>
        <w:numPr>
          <w:ilvl w:val="0"/>
          <w:numId w:val="4"/>
        </w:numPr>
      </w:pPr>
      <w:r w:rsidRPr="00D40FC4">
        <w:t xml:space="preserve">0 appointments: 42.98% </w:t>
      </w:r>
    </w:p>
    <w:p w14:paraId="6CEE8F56" w14:textId="77777777" w:rsidR="00D40FC4" w:rsidRPr="00D40FC4" w:rsidRDefault="00D40FC4" w:rsidP="00D40FC4">
      <w:pPr>
        <w:numPr>
          <w:ilvl w:val="0"/>
          <w:numId w:val="4"/>
        </w:numPr>
      </w:pPr>
      <w:r w:rsidRPr="00D40FC4">
        <w:t xml:space="preserve">5+ appointments: 51.66% </w:t>
      </w:r>
    </w:p>
    <w:p w14:paraId="16FDB601" w14:textId="77777777" w:rsidR="00D40FC4" w:rsidRPr="00D40FC4" w:rsidRDefault="00D40FC4" w:rsidP="00D40FC4">
      <w:pPr>
        <w:numPr>
          <w:ilvl w:val="0"/>
          <w:numId w:val="4"/>
        </w:numPr>
      </w:pPr>
      <w:r w:rsidRPr="00D40FC4">
        <w:t xml:space="preserve">χ² = 11.84, p = 0.0079 </w:t>
      </w:r>
    </w:p>
    <w:p w14:paraId="1E3BFD3C" w14:textId="77777777" w:rsidR="00D40FC4" w:rsidRPr="00D40FC4" w:rsidRDefault="00D40FC4" w:rsidP="00D40FC4">
      <w:pPr>
        <w:rPr>
          <w:b/>
          <w:bCs/>
        </w:rPr>
      </w:pPr>
      <w:r w:rsidRPr="00D40FC4">
        <w:rPr>
          <w:b/>
          <w:bCs/>
        </w:rPr>
        <w:t>Recommended action:</w:t>
      </w:r>
    </w:p>
    <w:p w14:paraId="7E6EBB76" w14:textId="77777777" w:rsidR="00D40FC4" w:rsidRPr="00D40FC4" w:rsidRDefault="00D40FC4" w:rsidP="00D40FC4">
      <w:r w:rsidRPr="00D40FC4">
        <w:t>Use previous appointment history as a secondary risk indicator rather than a standalone reason for intervention.</w:t>
      </w:r>
    </w:p>
    <w:p w14:paraId="0B02E1CA" w14:textId="77777777" w:rsidR="00D40FC4" w:rsidRDefault="00D40FC4" w:rsidP="00727850">
      <w:pPr>
        <w:rPr>
          <w:b/>
          <w:bCs/>
        </w:rPr>
      </w:pPr>
    </w:p>
    <w:p w14:paraId="1BE7BB09" w14:textId="77777777" w:rsidR="001C261D" w:rsidRDefault="001C261D" w:rsidP="00727850">
      <w:pPr>
        <w:rPr>
          <w:b/>
          <w:bCs/>
        </w:rPr>
      </w:pPr>
    </w:p>
    <w:p w14:paraId="301298DC" w14:textId="76127F4A" w:rsidR="001C261D" w:rsidRPr="001C261D" w:rsidRDefault="001C261D" w:rsidP="001C261D"/>
    <w:sectPr w:rsidR="001C261D" w:rsidRPr="001C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A20D8"/>
    <w:multiLevelType w:val="multilevel"/>
    <w:tmpl w:val="603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357B4"/>
    <w:multiLevelType w:val="multilevel"/>
    <w:tmpl w:val="BE2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931DE"/>
    <w:multiLevelType w:val="multilevel"/>
    <w:tmpl w:val="8BF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43C16"/>
    <w:multiLevelType w:val="multilevel"/>
    <w:tmpl w:val="BAE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4853">
    <w:abstractNumId w:val="1"/>
  </w:num>
  <w:num w:numId="2" w16cid:durableId="1014570985">
    <w:abstractNumId w:val="2"/>
  </w:num>
  <w:num w:numId="3" w16cid:durableId="1635134288">
    <w:abstractNumId w:val="0"/>
  </w:num>
  <w:num w:numId="4" w16cid:durableId="1922980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50"/>
    <w:rsid w:val="000157E9"/>
    <w:rsid w:val="001C261D"/>
    <w:rsid w:val="005E1624"/>
    <w:rsid w:val="00727850"/>
    <w:rsid w:val="007C5426"/>
    <w:rsid w:val="008B397C"/>
    <w:rsid w:val="00D40FC4"/>
    <w:rsid w:val="00E5336E"/>
    <w:rsid w:val="00E6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A2C63A"/>
  <w15:chartTrackingRefBased/>
  <w15:docId w15:val="{3B22D1D4-6AAB-4392-BD5B-7A499BFC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0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01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2</cp:revision>
  <dcterms:created xsi:type="dcterms:W3CDTF">2026-09-10T09:45:00Z</dcterms:created>
  <dcterms:modified xsi:type="dcterms:W3CDTF">2026-09-10T11:21:00Z</dcterms:modified>
</cp:coreProperties>
</file>