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BB4EEE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BB4EEE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3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BB4EEE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BB4EEE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BB4EEE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FD3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</w:t>
      </w:r>
      <w:r>
        <w:t>OpFlix</w:t>
      </w:r>
      <w:r>
        <w:t xml:space="preserve">, </w:t>
      </w:r>
      <w:r w:rsidRPr="00973736">
        <w:t>que</w:t>
      </w:r>
      <w:r>
        <w:t xml:space="preserve"> visa demonstrar </w:t>
      </w:r>
      <w:r>
        <w:t>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0DC7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</w:t>
      </w:r>
      <w:r>
        <w:rPr>
          <w:rFonts w:ascii="Calibri Light" w:hAnsi="Calibri Light" w:cs="Calibri Light"/>
          <w:color w:val="7030A0"/>
          <w:sz w:val="56"/>
          <w:szCs w:val="56"/>
        </w:rPr>
        <w:t xml:space="preserve">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</w:t>
      </w:r>
      <w:r>
        <w:t>OpFlix</w:t>
      </w:r>
      <w:r>
        <w:t xml:space="preserve"> tem a disponibilização </w:t>
      </w:r>
      <w:r>
        <w:t>de novidades</w:t>
      </w:r>
      <w:r>
        <w:t xml:space="preserve">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5C7F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  <w:b/>
        </w:rPr>
      </w:pPr>
      <w:bookmarkStart w:id="0" w:name="_GoBack"/>
      <w:bookmarkEnd w:id="0"/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 xml:space="preserve">Modelo </w:t>
      </w:r>
      <w:r>
        <w:rPr>
          <w:rFonts w:ascii="Calibri Light" w:hAnsi="Calibri Light" w:cs="Calibri Light"/>
          <w:b/>
          <w:sz w:val="36"/>
          <w:szCs w:val="36"/>
        </w:rPr>
        <w:t>Físico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5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 xml:space="preserve">Modelo </w:t>
      </w:r>
      <w:r>
        <w:rPr>
          <w:rFonts w:ascii="Calibri Light" w:hAnsi="Calibri Light" w:cs="Calibri Light"/>
          <w:b/>
          <w:sz w:val="36"/>
          <w:szCs w:val="36"/>
        </w:rPr>
        <w:t>Conceitual</w:t>
      </w:r>
    </w:p>
    <w:p w:rsidR="00A56F04" w:rsidRPr="00A56F04" w:rsidRDefault="00A56F04" w:rsidP="00A56F04">
      <w:pPr>
        <w:shd w:val="clear" w:color="auto" w:fill="FFFFFF" w:themeFill="background1"/>
        <w:rPr>
          <w:rFonts w:cstheme="minorHAnsi"/>
          <w:b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973736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sectPr w:rsidR="00A56F04" w:rsidRPr="00973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900CB5"/>
    <w:rsid w:val="00973736"/>
    <w:rsid w:val="00A26432"/>
    <w:rsid w:val="00A56F04"/>
    <w:rsid w:val="00BB4EEE"/>
    <w:rsid w:val="00CD3FBC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5BF6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is.blog.br/chave%20primaria-chave-estrangeira-e-candidat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1</cp:revision>
  <dcterms:created xsi:type="dcterms:W3CDTF">2019-08-12T17:38:00Z</dcterms:created>
  <dcterms:modified xsi:type="dcterms:W3CDTF">2019-08-12T19:00:00Z</dcterms:modified>
</cp:coreProperties>
</file>