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color w:val="000000"/>
          <w:sz w:val="40"/>
          <w:szCs w:val="40"/>
        </w:rPr>
        <w:t>Tony Cardone</w:t>
      </w:r>
    </w:p>
    <w:p>
      <w:pPr>
        <w:pStyle w:val="Normal"/>
        <w:spacing w:before="0" w:after="80"/>
        <w:jc w:val="center"/>
        <w:rPr>
          <w:rFonts w:ascii="Arial" w:hAnsi="Arial" w:eastAsia="Arial" w:cs="Arial"/>
          <w:szCs w:val="20"/>
        </w:rPr>
      </w:pPr>
      <w:r>
        <w:rPr>
          <w:rFonts w:eastAsia="Arial" w:cs="Arial"/>
          <w:color w:val="595959"/>
          <w:sz w:val="26"/>
          <w:szCs w:val="26"/>
        </w:rPr>
        <w:t>L</w:t>
      </w:r>
      <w:r>
        <w:rPr>
          <w:rFonts w:eastAsia="Arial" w:cs="Arial"/>
          <w:color w:val="595959"/>
          <w:sz w:val="26"/>
          <w:szCs w:val="26"/>
        </w:rPr>
        <w:t>ead</w:t>
      </w:r>
      <w:r>
        <w:rPr>
          <w:rFonts w:eastAsia="Arial" w:cs="Arial"/>
          <w:color w:val="595959"/>
          <w:sz w:val="26"/>
          <w:szCs w:val="26"/>
        </w:rPr>
        <w:t xml:space="preserve"> Architect </w:t>
      </w:r>
      <w:r>
        <w:rPr>
          <w:rFonts w:eastAsia="Arial" w:cs="Arial"/>
          <w:color w:val="595959"/>
          <w:sz w:val="26"/>
          <w:szCs w:val="26"/>
        </w:rPr>
        <w:t>/</w:t>
      </w:r>
      <w:r>
        <w:rPr>
          <w:rFonts w:eastAsia="Arial" w:cs="Arial"/>
          <w:color w:val="595959"/>
          <w:sz w:val="26"/>
          <w:szCs w:val="26"/>
        </w:rPr>
        <w:t xml:space="preserve"> Engineering </w:t>
      </w:r>
      <w:r>
        <w:rPr>
          <w:rFonts w:eastAsia="Arial" w:cs="Arial"/>
          <w:color w:val="595959"/>
          <w:sz w:val="26"/>
          <w:szCs w:val="26"/>
        </w:rPr>
        <w:t>Manager</w:t>
      </w:r>
    </w:p>
    <w:p>
      <w:pPr>
        <w:pStyle w:val="Normal"/>
        <w:spacing w:before="0" w:after="160"/>
        <w:jc w:val="center"/>
        <w:rPr>
          <w:rFonts w:ascii="Arial" w:hAnsi="Arial" w:eastAsia="Arial" w:cs="Arial"/>
          <w:szCs w:val="20"/>
        </w:rPr>
      </w:pPr>
      <w:r>
        <w:rPr>
          <w:rFonts w:eastAsia="Arial" w:cs="Arial"/>
          <w:color w:val="595959"/>
          <w:sz w:val="18"/>
          <w:szCs w:val="18"/>
        </w:rPr>
        <w:t xml:space="preserve">210-880-4316  |  tcardone@outlook.com  |  </w:t>
      </w:r>
      <w:hyperlink r:id="rId2">
        <w:r>
          <w:rPr>
            <w:rStyle w:val="Hyperlink"/>
            <w:rFonts w:eastAsia="Arial" w:cs="Arial"/>
            <w:color w:val="595959"/>
            <w:sz w:val="18"/>
            <w:szCs w:val="18"/>
          </w:rPr>
          <w:t>linkedin.com/in/tonycardone</w:t>
        </w:r>
      </w:hyperlink>
      <w:r>
        <w:rPr>
          <w:rFonts w:eastAsia="Arial" w:cs="Arial"/>
          <w:color w:val="595959"/>
          <w:sz w:val="18"/>
          <w:szCs w:val="18"/>
        </w:rPr>
        <w:t xml:space="preserve">  |  </w:t>
      </w:r>
      <w:hyperlink r:id="rId3">
        <w:r>
          <w:rPr>
            <w:rStyle w:val="Hyperlink"/>
            <w:rFonts w:eastAsia="Arial" w:cs="Arial"/>
            <w:color w:val="595959"/>
            <w:sz w:val="18"/>
            <w:szCs w:val="18"/>
          </w:rPr>
          <w:t>tonycardone.com</w:t>
        </w:r>
      </w:hyperlink>
    </w:p>
    <w:p>
      <w:pPr>
        <w:pStyle w:val="Normal"/>
        <w:pBdr>
          <w:bottom w:val="single" w:sz="6" w:space="1" w:color="1F4E79"/>
        </w:pBdr>
        <w:spacing w:before="200" w:after="6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6" w:space="1" w:color="1F4E79"/>
        </w:pBdr>
        <w:spacing w:before="200" w:after="6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PROFESSIONAL SUMMARY</w:t>
      </w:r>
    </w:p>
    <w:p>
      <w:pPr>
        <w:pStyle w:val="BodyText"/>
        <w:spacing w:before="0" w:after="120"/>
        <w:rPr>
          <w:rFonts w:ascii="Arial" w:hAnsi="Arial" w:eastAsia="Arial" w:cs="Arial"/>
          <w:szCs w:val="20"/>
        </w:rPr>
      </w:pPr>
      <w:r>
        <w:rPr>
          <w:rFonts w:eastAsia="Arial" w:cs="Arial"/>
          <w:color w:val="000000"/>
          <w:szCs w:val="20"/>
        </w:rPr>
        <w:t xml:space="preserve">Software Architect and Engineering Leader with 12+ years designing and evolving distributed cloud platforms and guiding engineering teams across the US, Europe, and South America. Expertise in system architecture, AWS, Java, microservices, data platforms, and monolith-to-microservices modernization. Proven track record of defining technical strategy, driving organization-wide architectural decisions, and partnering with product owners, solutions implementation teams, engineering leaders, and executives to </w:t>
      </w:r>
      <w:r>
        <w:rPr>
          <w:rFonts w:eastAsia="Arial" w:cs="Arial"/>
          <w:color w:val="000000"/>
          <w:szCs w:val="20"/>
        </w:rPr>
        <w:t>translate</w:t>
      </w:r>
      <w:r>
        <w:rPr>
          <w:rFonts w:eastAsia="Arial" w:cs="Arial"/>
          <w:color w:val="000000"/>
          <w:szCs w:val="20"/>
        </w:rPr>
        <w:t xml:space="preserve"> business priorities into scalable, reliable technology solutions from concept through production.</w:t>
      </w:r>
    </w:p>
    <w:p>
      <w:pPr>
        <w:pStyle w:val="BodyText"/>
        <w:spacing w:before="0" w:after="12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</w:r>
    </w:p>
    <w:p>
      <w:pPr>
        <w:pStyle w:val="Normal"/>
        <w:pBdr>
          <w:bottom w:val="single" w:sz="6" w:space="1" w:color="1F4E79"/>
        </w:pBdr>
        <w:spacing w:before="200" w:after="6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EXPERIENCE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sz w:val="22"/>
          <w:szCs w:val="22"/>
        </w:rPr>
        <w:t>Zilliant Incorporated</w:t>
      </w:r>
      <w:r>
        <w:rPr>
          <w:rFonts w:eastAsia="Arial" w:cs="Arial"/>
          <w:color w:val="595959"/>
          <w:szCs w:val="20"/>
        </w:rPr>
        <w:t xml:space="preserve">  |  Austin, TX  |  June 2015 – November 2025</w:t>
      </w:r>
    </w:p>
    <w:p>
      <w:pPr>
        <w:pStyle w:val="BodyText"/>
        <w:spacing w:before="100" w:after="40"/>
        <w:rPr>
          <w:rFonts w:eastAsia="Arial" w:cs="Arial"/>
          <w:color w:val="595959"/>
          <w:szCs w:val="20"/>
        </w:rPr>
      </w:pPr>
      <w:r>
        <w:rPr>
          <w:rFonts w:eastAsia="Arial" w:cs="Arial"/>
          <w:i/>
          <w:iCs/>
          <w:color w:val="595959"/>
          <w:szCs w:val="20"/>
        </w:rPr>
        <w:t xml:space="preserve">Zilliant is a </w:t>
      </w:r>
      <w:r>
        <w:rPr>
          <w:rFonts w:eastAsia="Arial" w:cs="Arial"/>
          <w:i/>
          <w:iCs/>
          <w:color w:val="595959"/>
          <w:szCs w:val="20"/>
        </w:rPr>
        <w:t>B2B software company providing cloud-based pricing, revenue optimization, and sales solutions for large enterprise customers.</w:t>
      </w:r>
      <w:r>
        <w:rPr>
          <w:rFonts w:eastAsia="Arial" w:cs="Arial"/>
          <w:color w:val="595959"/>
          <w:szCs w:val="20"/>
        </w:rPr>
        <w:br/>
      </w:r>
    </w:p>
    <w:p>
      <w:pPr>
        <w:pStyle w:val="Normal"/>
        <w:spacing w:before="60" w:after="40"/>
        <w:rPr>
          <w:rFonts w:ascii="Arial" w:hAnsi="Arial" w:eastAsia="Arial" w:cs="Arial"/>
          <w:szCs w:val="20"/>
        </w:rPr>
      </w:pPr>
      <w:r>
        <w:rPr>
          <w:b/>
          <w:bCs/>
          <w:color w:val="000000"/>
          <w:u w:val="single"/>
        </w:rPr>
        <w:t>Engineering Manager</w:t>
      </w:r>
      <w:r>
        <w:rPr>
          <w:color w:val="595959"/>
        </w:rPr>
        <w:t xml:space="preserve"> (2025)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 xml:space="preserve">Led two distributed </w:t>
      </w:r>
      <w:r>
        <w:rPr>
          <w:rFonts w:eastAsia="Arial" w:cs="Arial"/>
          <w:szCs w:val="20"/>
        </w:rPr>
        <w:t xml:space="preserve">Eastern European </w:t>
      </w:r>
      <w:r>
        <w:rPr>
          <w:rFonts w:eastAsia="Arial" w:cs="Arial"/>
          <w:szCs w:val="20"/>
        </w:rPr>
        <w:t>engineering teams totaling 15 developers and QA professionals, owning technical execution, delivery strategy, operational performance, and cross-team coordination.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Retained company-wide architecture ownership while serving as Engineering Manager, establishing system-design standards and guiding high-impact architectural and technology tradeoffs across engineering teams.</w:t>
      </w:r>
    </w:p>
    <w:p>
      <w:pPr>
        <w:pStyle w:val="Normal"/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</w:r>
    </w:p>
    <w:p>
      <w:pPr>
        <w:pStyle w:val="Normal"/>
        <w:spacing w:before="60" w:after="4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szCs w:val="20"/>
          <w:u w:val="single"/>
        </w:rPr>
        <w:t xml:space="preserve">Lead Architect / </w:t>
      </w:r>
      <w:r>
        <w:rPr>
          <w:rFonts w:eastAsia="Arial" w:cs="Arial"/>
          <w:b/>
          <w:bCs/>
          <w:szCs w:val="20"/>
          <w:u w:val="single"/>
        </w:rPr>
        <w:t>A</w:t>
      </w:r>
      <w:r>
        <w:rPr>
          <w:rFonts w:eastAsia="Arial" w:cs="Arial"/>
          <w:b/>
          <w:bCs/>
          <w:szCs w:val="20"/>
          <w:u w:val="single"/>
        </w:rPr>
        <w:t>rchitecture Manager</w:t>
      </w:r>
      <w:r>
        <w:rPr>
          <w:rFonts w:eastAsia="Arial" w:cs="Arial"/>
          <w:color w:val="595959"/>
          <w:szCs w:val="20"/>
        </w:rPr>
        <w:t xml:space="preserve"> (2021 – 2025)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Led a seven-member architecture organization responsible for solution and platform architecture across Zilliant's product portfolio, including distributed APIs, cloud services, data platforms, and a large legacy monolith; reported directly to the CTO or VP of Engineering.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Managed and mentored architects and engineers while partnering with engineering managers to develop technical talent, transfer architectural knowledge, and expand architecture practices across the organization.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Owned end-to-end architecture for a new product offering, defining its system design and integration into the existing platform from initial requirements through production deployment.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Partnered with product leadership during roadmap development to evaluate technical feasibility, expose architectural risks, and define tradeoffs that balanced product priorities, engineering cost, scalability, and delivery speed.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 xml:space="preserve">Defined and drove the platform data strategy that established Amazon Aurora PostgreSQL as the primary transactional database, replacing customer-specific SQL Server deployments with a more scalable, lower-maintenance, and cost-efficient architecture </w:t>
      </w:r>
      <w:r>
        <w:rPr>
          <w:rFonts w:eastAsia="Arial" w:cs="Arial"/>
          <w:szCs w:val="20"/>
        </w:rPr>
        <w:t>and the pathway for the transition</w:t>
      </w:r>
      <w:r>
        <w:rPr>
          <w:rFonts w:eastAsia="Arial" w:cs="Arial"/>
          <w:szCs w:val="20"/>
        </w:rPr>
        <w:t>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Led the architectural transition from a Java monolith toward Dropwizard-based microservices, incrementally extracting platform capabilities into independently scalable services supporting hundreds of requests per second per datacenter.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 xml:space="preserve">Established worker-based service patterns for long-running workloads, using AWS Batch and autoscaling to balance workload availability, scalability, and infrastructure cost, </w:t>
      </w:r>
      <w:r>
        <w:rPr>
          <w:rFonts w:eastAsia="Arial" w:cs="Arial"/>
          <w:szCs w:val="20"/>
        </w:rPr>
        <w:t>and the work needed to translate existing components to this model.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Led architecture-level incident reviews and escalations for complex backend failures, identifying systemic design issues and guiding corrective solutions across engineering teams.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Partnered with customer solutions teams to review implementation architectures, identify systemic design and performance risks, and define scalable approaches consistent with the broader platform architecture.</w:t>
      </w:r>
    </w:p>
    <w:p>
      <w:pPr>
        <w:pStyle w:val="Normal"/>
        <w:spacing w:before="100" w:after="4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szCs w:val="20"/>
          <w:u w:val="single"/>
        </w:rPr>
        <w:t>Senior Technical Lead</w:t>
      </w:r>
      <w:r>
        <w:rPr>
          <w:rFonts w:eastAsia="Arial" w:cs="Arial"/>
          <w:color w:val="595959"/>
          <w:szCs w:val="20"/>
        </w:rPr>
        <w:t xml:space="preserve"> (2015 – 2021)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Led a ten-person hybrid US-Ukraine team delivering critical backend features for the platform using AWS and Salesforce offerings.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Transformed the team's release model from quarterly deployments to daily delivery by redesigning engineering practices across requirements, architecture, development, testing, and release management.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Improved synchronization between Salesforce SObjects and the AWS backend, increasing sync reliability, accelerating troubleshooting, and stabilizing environment staging.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Integrated AWS Redshift into platform stack, offering a cost-efficient alternative to using SQL Server Enterprise for analytics, with support for variable workloads.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Deployed AWS EMR solution as part of platform offering, allowing optional use of big data-style inbound data verification and cleanup operations as a standardized model. Clusters were created and destroyed through CloudFormation calls as part of their lifecycle for cost efficiency, resulting in zero standby cluster costs.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Designed and led Custom Job Workflows with architecture team, uncoupling customer logic from static jobs and achieving near-100% adoption across existing projects while preserving backward compatibility. Supported evolution of unique customer needs within a consistent platform.</w:t>
      </w:r>
    </w:p>
    <w:p>
      <w:pPr>
        <w:pStyle w:val="Normal"/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</w:r>
    </w:p>
    <w:p>
      <w:pPr>
        <w:pStyle w:val="Normal"/>
        <w:spacing w:before="80" w:after="4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sz w:val="22"/>
          <w:szCs w:val="22"/>
        </w:rPr>
        <w:t>BNSF Railway Company</w:t>
      </w:r>
      <w:r>
        <w:rPr>
          <w:rFonts w:eastAsia="Arial" w:cs="Arial"/>
          <w:color w:val="595959"/>
          <w:szCs w:val="20"/>
        </w:rPr>
        <w:t xml:space="preserve">  |  Fort Worth, TX  |  June 2013 – June 2015</w:t>
      </w:r>
    </w:p>
    <w:p>
      <w:pPr>
        <w:pStyle w:val="BodyText"/>
        <w:spacing w:before="80" w:after="40"/>
        <w:rPr>
          <w:rFonts w:ascii="Arial" w:hAnsi="Arial" w:eastAsia="Arial" w:cs="Arial"/>
          <w:i/>
          <w:iCs/>
          <w:color w:val="595959"/>
          <w:szCs w:val="20"/>
        </w:rPr>
      </w:pPr>
      <w:r>
        <w:rPr>
          <w:rFonts w:eastAsia="Arial" w:cs="Arial"/>
          <w:i/>
          <w:iCs/>
          <w:color w:val="595959"/>
          <w:szCs w:val="20"/>
        </w:rPr>
        <w:t>BNSF is o</w:t>
      </w:r>
      <w:r>
        <w:rPr>
          <w:rFonts w:eastAsia="Arial" w:cs="Arial"/>
          <w:i/>
          <w:iCs/>
          <w:color w:val="595959"/>
          <w:szCs w:val="20"/>
        </w:rPr>
        <w:t>ne of North America’s largest freight railroads, operating a nationwide transportation network supporting industrial and commercial supply chains.</w:t>
      </w:r>
    </w:p>
    <w:p>
      <w:pPr>
        <w:pStyle w:val="Normal"/>
        <w:spacing w:before="80" w:after="40"/>
        <w:rPr>
          <w:rFonts w:ascii="Arial" w:hAnsi="Arial" w:eastAsia="Arial" w:cs="Arial"/>
          <w:szCs w:val="20"/>
        </w:rPr>
      </w:pPr>
      <w:r>
        <w:rPr>
          <w:rFonts w:eastAsia="Arial" w:cs="Arial"/>
          <w:color w:val="595959"/>
          <w:szCs w:val="20"/>
        </w:rPr>
      </w:r>
    </w:p>
    <w:p>
      <w:pPr>
        <w:pStyle w:val="Normal"/>
        <w:spacing w:before="60" w:after="4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szCs w:val="20"/>
          <w:u w:val="single"/>
        </w:rPr>
        <w:t>Systems Developer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Developed Java-based predictive analytics systems with mechanical engineering experts to identify rolling-stock risks, reduce derailments, and improve fleet reliability.</w:t>
      </w:r>
    </w:p>
    <w:p>
      <w:pPr>
        <w:pStyle w:val="Normal"/>
        <w:numPr>
          <w:ilvl w:val="0"/>
          <w:numId w:val="2"/>
        </w:numPr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  <w:t>Delivered Java applications and predictive analytics data to BNSF's Network Operations Center for continuous 24/7/365 operational evaluation, using IBM DB2 and WebSphere.</w:t>
      </w:r>
    </w:p>
    <w:p>
      <w:pPr>
        <w:pStyle w:val="Normal"/>
        <w:spacing w:before="40" w:after="4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</w:r>
    </w:p>
    <w:p>
      <w:pPr>
        <w:pStyle w:val="Normal"/>
        <w:pBdr>
          <w:bottom w:val="single" w:sz="6" w:space="1" w:color="1F4E79"/>
        </w:pBdr>
        <w:spacing w:before="200" w:after="6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TECHNICAL SKILLS</w:t>
      </w:r>
    </w:p>
    <w:p>
      <w:pPr>
        <w:pStyle w:val="BodyText"/>
        <w:spacing w:before="60" w:after="50"/>
        <w:rPr>
          <w:rFonts w:ascii="Arial" w:hAnsi="Arial" w:eastAsia="Arial" w:cs="Arial"/>
          <w:szCs w:val="20"/>
        </w:rPr>
      </w:pPr>
      <w:r>
        <w:rPr>
          <w:rStyle w:val="Strong"/>
          <w:rFonts w:eastAsia="Arial" w:cs="Arial"/>
          <w:szCs w:val="20"/>
        </w:rPr>
        <w:t>Architecture &amp; Platforms:</w:t>
      </w:r>
      <w:r>
        <w:rPr>
          <w:rFonts w:eastAsia="Arial" w:cs="Arial"/>
          <w:szCs w:val="20"/>
        </w:rPr>
        <w:t xml:space="preserve"> Distributed Systems, Microservices, REST APIs, Event/Worker Architectures, Multitenancy, Platform Modernization, Cloud Architecture</w:t>
      </w:r>
    </w:p>
    <w:p>
      <w:pPr>
        <w:pStyle w:val="BodyText"/>
        <w:spacing w:before="60" w:after="50"/>
        <w:rPr>
          <w:szCs w:val="20"/>
        </w:rPr>
      </w:pPr>
      <w:r>
        <w:rPr>
          <w:rStyle w:val="Strong"/>
          <w:szCs w:val="20"/>
        </w:rPr>
        <w:t>Cloud:</w:t>
      </w:r>
      <w:r>
        <w:rPr>
          <w:szCs w:val="20"/>
        </w:rPr>
        <w:t xml:space="preserve"> AWS, ECS, EC2, Lambda, Batch, Aurora PostgreSQL, EMR, CloudFormation</w:t>
      </w:r>
    </w:p>
    <w:p>
      <w:pPr>
        <w:pStyle w:val="BodyText"/>
        <w:spacing w:before="60" w:after="50"/>
        <w:rPr>
          <w:szCs w:val="20"/>
        </w:rPr>
      </w:pPr>
      <w:r>
        <w:rPr>
          <w:rStyle w:val="Strong"/>
          <w:szCs w:val="20"/>
        </w:rPr>
        <w:t>Languages:</w:t>
      </w:r>
      <w:r>
        <w:rPr>
          <w:szCs w:val="20"/>
        </w:rPr>
        <w:t xml:space="preserve"> Java, Python, SQL, R, Salesforce Apex</w:t>
      </w:r>
    </w:p>
    <w:p>
      <w:pPr>
        <w:pStyle w:val="BodyText"/>
        <w:spacing w:before="60" w:after="50"/>
        <w:rPr>
          <w:szCs w:val="20"/>
        </w:rPr>
      </w:pPr>
      <w:r>
        <w:rPr>
          <w:rStyle w:val="Strong"/>
          <w:szCs w:val="20"/>
        </w:rPr>
        <w:t>Data &amp; Infrastructure:</w:t>
      </w:r>
      <w:r>
        <w:rPr>
          <w:szCs w:val="20"/>
        </w:rPr>
        <w:t xml:space="preserve"> PostgreSQL, SQL Server, Redshift, Docker, ELK Stack</w:t>
      </w:r>
    </w:p>
    <w:p>
      <w:pPr>
        <w:pStyle w:val="BodyText"/>
        <w:spacing w:before="60" w:after="50"/>
        <w:rPr>
          <w:szCs w:val="20"/>
        </w:rPr>
      </w:pPr>
      <w:r>
        <w:rPr>
          <w:rStyle w:val="Strong"/>
          <w:szCs w:val="20"/>
        </w:rPr>
        <w:t>Engineering:</w:t>
      </w:r>
      <w:r>
        <w:rPr>
          <w:szCs w:val="20"/>
        </w:rPr>
        <w:t xml:space="preserve"> CI/CD, Git, Observability, Production Operations, System Design, </w:t>
      </w:r>
      <w:r>
        <w:rPr>
          <w:szCs w:val="20"/>
        </w:rPr>
        <w:t>OpenAI Codex, OpenCode. Architecture Reviews</w:t>
      </w:r>
    </w:p>
    <w:p>
      <w:pPr>
        <w:pStyle w:val="Normal"/>
        <w:spacing w:before="60" w:after="5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</w:r>
    </w:p>
    <w:p>
      <w:pPr>
        <w:pStyle w:val="Normal"/>
        <w:pBdr>
          <w:bottom w:val="single" w:sz="6" w:space="1" w:color="1F4E79"/>
        </w:pBdr>
        <w:spacing w:before="200" w:after="6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EDUCATION</w:t>
      </w:r>
    </w:p>
    <w:p>
      <w:pPr>
        <w:pStyle w:val="Normal"/>
        <w:spacing w:before="80" w:after="30"/>
        <w:rPr>
          <w:rFonts w:ascii="Arial" w:hAnsi="Arial" w:eastAsia="Arial" w:cs="Arial"/>
          <w:i/>
          <w:iCs/>
          <w:szCs w:val="20"/>
        </w:rPr>
      </w:pPr>
      <w:r>
        <w:rPr>
          <w:rFonts w:eastAsia="Arial" w:cs="Arial"/>
          <w:b/>
          <w:bCs/>
          <w:szCs w:val="20"/>
        </w:rPr>
        <w:t>Master of Science – Data Science | 2026</w:t>
      </w:r>
    </w:p>
    <w:p>
      <w:pPr>
        <w:pStyle w:val="Normal"/>
        <w:spacing w:before="0" w:after="60"/>
        <w:rPr>
          <w:rFonts w:ascii="Arial" w:hAnsi="Arial" w:eastAsia="Arial" w:cs="Arial"/>
          <w:szCs w:val="20"/>
        </w:rPr>
      </w:pPr>
      <w:r>
        <w:rPr>
          <w:rFonts w:eastAsia="Arial" w:cs="Arial"/>
          <w:color w:val="595959"/>
          <w:szCs w:val="20"/>
        </w:rPr>
        <w:t>Texas Tech University, Lubbock, TX</w:t>
        <w:br/>
      </w:r>
      <w:r>
        <w:rPr>
          <w:rFonts w:eastAsia="Arial" w:cs="Arial"/>
          <w:i/>
          <w:iCs/>
          <w:color w:val="595959"/>
          <w:szCs w:val="20"/>
        </w:rPr>
        <w:t>Rawls College of Business</w:t>
      </w:r>
    </w:p>
    <w:p>
      <w:pPr>
        <w:pStyle w:val="Normal"/>
        <w:spacing w:before="0" w:after="60"/>
        <w:rPr>
          <w:rFonts w:ascii="Arial" w:hAnsi="Arial" w:eastAsia="Arial" w:cs="Arial"/>
          <w:szCs w:val="20"/>
        </w:rPr>
      </w:pPr>
      <w:r>
        <w:rPr>
          <w:rFonts w:eastAsia="Arial" w:cs="Arial"/>
          <w:szCs w:val="20"/>
        </w:rPr>
      </w:r>
    </w:p>
    <w:p>
      <w:pPr>
        <w:pStyle w:val="Normal"/>
        <w:spacing w:before="60" w:after="30"/>
        <w:rPr>
          <w:rFonts w:ascii="Arial" w:hAnsi="Arial" w:eastAsia="Arial" w:cs="Arial"/>
          <w:szCs w:val="20"/>
        </w:rPr>
      </w:pPr>
      <w:r>
        <w:rPr>
          <w:rFonts w:eastAsia="Arial" w:cs="Arial"/>
          <w:b/>
          <w:bCs/>
          <w:szCs w:val="20"/>
        </w:rPr>
        <w:t>Bachelor of Science – Computer Science | 2013</w:t>
      </w:r>
    </w:p>
    <w:p>
      <w:pPr>
        <w:pStyle w:val="Normal"/>
        <w:spacing w:before="0" w:after="60"/>
        <w:rPr>
          <w:rFonts w:eastAsia="Arial" w:cs="Arial"/>
          <w:color w:val="595959"/>
          <w:szCs w:val="20"/>
        </w:rPr>
      </w:pPr>
      <w:r>
        <w:rPr>
          <w:rFonts w:eastAsia="Arial" w:cs="Arial"/>
          <w:color w:val="595959"/>
          <w:szCs w:val="20"/>
        </w:rPr>
        <w:t>Texas Tech University, Lubbock, TX  |  Minor: Mathematics</w:t>
        <w:br/>
      </w:r>
      <w:r>
        <w:rPr>
          <w:rFonts w:eastAsia="Arial" w:cs="Arial"/>
          <w:i/>
          <w:iCs/>
          <w:color w:val="595959"/>
          <w:szCs w:val="20"/>
        </w:rPr>
        <w:t>Whitacre College of Engineering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Franklin Gothic Medium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ill Sans MT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83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18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df1cb4"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 w:cstheme="minorHAnsi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 w:val="true"/>
      <w:keepLines/>
      <w:jc w:val="center"/>
      <w:outlineLvl w:val="0"/>
    </w:pPr>
    <w:rPr>
      <w:rFonts w:ascii="Franklin Gothic Medium" w:hAnsi="Franklin Gothic Medium" w:eastAsia="" w:cs="Times New Roman (Headings CS)" w:asciiTheme="majorHAnsi" w:eastAsiaTheme="majorEastAsia" w:hAnsiTheme="majorHAnsi"/>
      <w:b/>
      <w:caps/>
      <w:color w:themeColor="text2" w:val="2C3B57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 w:val="true"/>
      <w:keepLines/>
      <w:spacing w:before="40" w:after="0"/>
      <w:jc w:val="center"/>
      <w:outlineLvl w:val="1"/>
    </w:pPr>
    <w:rPr>
      <w:rFonts w:eastAsia="" w:cs="Times New Roman (Headings CS)" w:eastAsiaTheme="majorEastAsia"/>
      <w:caps/>
      <w:color w:themeColor="text1" w:val="000000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 w:val="true"/>
      <w:keepLines/>
      <w:spacing w:before="0" w:after="40"/>
      <w:ind w:start="170"/>
      <w:outlineLvl w:val="2"/>
    </w:pPr>
    <w:rPr>
      <w:rFonts w:ascii="Franklin Gothic Medium" w:hAnsi="Franklin Gothic Medium" w:eastAsia="" w:cs="Times New Roman (Headings CS)" w:eastAsiaTheme="majorEastAsia"/>
      <w:b/>
      <w:caps/>
      <w:color w:themeColor="text2" w:val="2C3B57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2d3ab8"/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2d3ab8"/>
    <w:rPr>
      <w:sz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d3ab8"/>
    <w:rPr>
      <w:rFonts w:ascii="Times New Roman" w:hAnsi="Times New Roman" w:cs="Times New Roman"/>
      <w:sz w:val="18"/>
      <w:szCs w:val="18"/>
    </w:rPr>
  </w:style>
  <w:style w:type="character" w:styleId="Heading1Char" w:customStyle="1">
    <w:name w:val="Heading 1 Char"/>
    <w:basedOn w:val="DefaultParagraphFont"/>
    <w:link w:val="Heading1"/>
    <w:qFormat/>
    <w:rsid w:val="002d3ab8"/>
    <w:rPr>
      <w:rFonts w:ascii="Franklin Gothic Medium" w:hAnsi="Franklin Gothic Medium" w:eastAsia="" w:cs="Times New Roman (Headings CS)" w:asciiTheme="majorHAnsi" w:eastAsiaTheme="majorEastAsia" w:hAnsiTheme="majorHAnsi"/>
      <w:b/>
      <w:caps/>
      <w:color w:themeColor="text2" w:val="2C3B57"/>
      <w:sz w:val="90"/>
      <w:szCs w:val="32"/>
    </w:rPr>
  </w:style>
  <w:style w:type="character" w:styleId="Heading2Char" w:customStyle="1">
    <w:name w:val="Heading 2 Char"/>
    <w:basedOn w:val="DefaultParagraphFont"/>
    <w:link w:val="Heading2"/>
    <w:uiPriority w:val="1"/>
    <w:qFormat/>
    <w:rsid w:val="002d3ab8"/>
    <w:rPr>
      <w:rFonts w:eastAsia="" w:cs="Times New Roman (Headings CS)" w:eastAsiaTheme="majorEastAsia"/>
      <w:caps/>
      <w:color w:themeColor="text1" w:val="000000"/>
      <w:spacing w:val="80"/>
      <w:sz w:val="44"/>
      <w:szCs w:val="26"/>
    </w:rPr>
  </w:style>
  <w:style w:type="character" w:styleId="Heading3Char" w:customStyle="1">
    <w:name w:val="Heading 3 Char"/>
    <w:basedOn w:val="DefaultParagraphFont"/>
    <w:link w:val="Heading3"/>
    <w:uiPriority w:val="2"/>
    <w:qFormat/>
    <w:rsid w:val="002d3ab8"/>
    <w:rPr>
      <w:rFonts w:ascii="Franklin Gothic Medium" w:hAnsi="Franklin Gothic Medium" w:eastAsia="" w:cs="Times New Roman (Headings CS)" w:eastAsiaTheme="majorEastAsia"/>
      <w:b/>
      <w:caps/>
      <w:color w:themeColor="text2" w:val="2C3B57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false"/>
      <w:iCs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qFormat/>
    <w:rsid w:val="00d06709"/>
    <w:pPr/>
    <w:rPr>
      <w:rFonts w:ascii="Times New Roman" w:hAnsi="Times New Roman" w:cs="Times New Roman"/>
      <w:sz w:val="18"/>
      <w:szCs w:val="18"/>
    </w:rPr>
  </w:style>
  <w:style w:type="paragraph" w:styleId="Text" w:customStyle="1">
    <w:name w:val="Text"/>
    <w:basedOn w:val="Normal"/>
    <w:uiPriority w:val="3"/>
    <w:qFormat/>
    <w:rsid w:val="00fa4db0"/>
    <w:pPr>
      <w:spacing w:lineRule="auto" w:line="288"/>
      <w:ind w:start="170" w:end="113"/>
    </w:pPr>
    <w:rPr>
      <w:color w:themeColor="text1" w:themeTint="bf" w:val="404040"/>
      <w:sz w:val="22"/>
    </w:rPr>
  </w:style>
  <w:style w:type="paragraph" w:styleId="Dates" w:customStyle="1">
    <w:name w:val="Dates"/>
    <w:basedOn w:val="Normal"/>
    <w:uiPriority w:val="4"/>
    <w:qFormat/>
    <w:rsid w:val="00fa4db0"/>
    <w:pPr>
      <w:ind w:start="170"/>
    </w:pPr>
    <w:rPr>
      <w:b/>
      <w:color w:themeColor="text2" w:val="2C3B57"/>
    </w:rPr>
  </w:style>
  <w:style w:type="paragraph" w:styleId="ListParagraph">
    <w:name w:val="List Paragraph"/>
    <w:basedOn w:val="Normal"/>
    <w:uiPriority w:val="6"/>
    <w:qFormat/>
    <w:rsid w:val="00fa4db0"/>
    <w:pPr>
      <w:numPr>
        <w:ilvl w:val="0"/>
        <w:numId w:val="1"/>
      </w:numPr>
      <w:spacing w:lineRule="auto" w:line="360" w:before="80" w:after="0"/>
      <w:ind w:hanging="357" w:start="527"/>
      <w:contextualSpacing/>
    </w:pPr>
    <w:rPr>
      <w:rFonts w:ascii="Gill Sans MT" w:hAnsi="Gill Sans MT" w:cs="Times New Roman (Body CS)"/>
      <w:caps/>
      <w:color w:themeColor="text1" w:val="000000"/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0670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tonycardone" TargetMode="External"/><Relationship Id="rId3" Type="http://schemas.openxmlformats.org/officeDocument/2006/relationships/hyperlink" Target="https://tonycardone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resume.dotx</Template>
  <TotalTime>13589</TotalTime>
  <Application>LibreOffice/26.2.4.2$MacOSX_AARCH64 LibreOffice_project/0229ac93fcf0d7cbc6376066c6f35021cef002dc</Application>
  <AppVersion>15.0000</AppVersion>
  <Pages>2</Pages>
  <Words>781</Words>
  <Characters>5406</Characters>
  <CharactersWithSpaces>6147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2026-02-02T21:36:00Z</dcterms:created>
  <dc:creator/>
  <dc:description/>
  <dc:language>en-US</dc:language>
  <cp:lastModifiedBy/>
  <cp:lastPrinted>2026-02-27T21:02:00Z</cp:lastPrinted>
  <dcterms:modified xsi:type="dcterms:W3CDTF">2026-09-03T19:19:07Z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