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firstLine="720"/>
        <w:rPr/>
      </w:pPr>
      <w:r w:rsidDel="00000000" w:rsidR="00000000" w:rsidRPr="00000000">
        <w:rPr>
          <w:rtl w:val="0"/>
        </w:rPr>
        <w:t xml:space="preserve">Feasibility Analysis Executive Summary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Feasibility: Can We Build It?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rFonts w:ascii="Trebuchet MS" w:cs="Trebuchet MS" w:eastAsia="Trebuchet MS" w:hAnsi="Trebuchet MS"/>
                <w:b w:val="1"/>
                <w:color w:val="6abbe0"/>
                <w:sz w:val="28"/>
                <w:szCs w:val="2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Familiarity with Functional area: Less familiarity generates more risk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Since the users will not be familiar with the new system, the risk is medium-high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Familiarity with Technology: Less familiarity generates more risk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to the system being built from the ground-up, the risk associated with familiarity with technology will be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Project Size: Large Projects have more risk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project risk is considered to be low-medium due to the project team consisting of 6 members and the school being relatively small.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Compatibility: The harder it is to integrate the system with the company’s existing technology, the higher the risk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risk will be medium because this is a large endeavor although it is not complex because there is no existing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Feasibility: Should We Build It?</w:t>
      </w:r>
    </w:p>
    <w:tbl>
      <w:tblPr>
        <w:tblStyle w:val="Table2"/>
        <w:tblW w:w="10080.0" w:type="dxa"/>
        <w:jc w:val="left"/>
        <w:tblInd w:w="0.0" w:type="pct"/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See attached spreadsheet for details. (See Cost-Benefit Analysis.xls)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Tangible Benefits over 5 years: (See cell </w:t>
            </w:r>
            <w:r w:rsidDel="00000000" w:rsidR="00000000" w:rsidRPr="00000000">
              <w:rPr>
                <w:b w:val="1"/>
                <w:rtl w:val="0"/>
              </w:rPr>
              <w:t xml:space="preserve">G7</w:t>
            </w:r>
            <w:r w:rsidDel="00000000" w:rsidR="00000000" w:rsidRPr="00000000">
              <w:rPr>
                <w:rtl w:val="0"/>
              </w:rPr>
              <w:t xml:space="preserve"> in Cost-Benefit Analysis.xls)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Costs over 5 years: (See cell </w:t>
            </w:r>
            <w:r w:rsidDel="00000000" w:rsidR="00000000" w:rsidRPr="00000000">
              <w:rPr>
                <w:b w:val="1"/>
                <w:rtl w:val="0"/>
              </w:rPr>
              <w:t xml:space="preserve">G27</w:t>
            </w:r>
            <w:r w:rsidDel="00000000" w:rsidR="00000000" w:rsidRPr="00000000">
              <w:rPr>
                <w:rtl w:val="0"/>
              </w:rPr>
              <w:t xml:space="preserve"> in Cost-Benefit Analysis.xls)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NPV after 5 years: (See cell </w:t>
            </w:r>
            <w:r w:rsidDel="00000000" w:rsidR="00000000" w:rsidRPr="00000000">
              <w:rPr>
                <w:b w:val="1"/>
                <w:rtl w:val="0"/>
              </w:rPr>
              <w:t xml:space="preserve">G31</w:t>
            </w:r>
            <w:r w:rsidDel="00000000" w:rsidR="00000000" w:rsidRPr="00000000">
              <w:rPr>
                <w:rtl w:val="0"/>
              </w:rPr>
              <w:t xml:space="preserve"> in Cost-Benefit Analysis.xls)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ROI after 5 years: (See cell </w:t>
            </w:r>
            <w:r w:rsidDel="00000000" w:rsidR="00000000" w:rsidRPr="00000000">
              <w:rPr>
                <w:b w:val="1"/>
                <w:rtl w:val="0"/>
              </w:rPr>
              <w:t xml:space="preserve">B34</w:t>
            </w:r>
            <w:r w:rsidDel="00000000" w:rsidR="00000000" w:rsidRPr="00000000">
              <w:rPr>
                <w:rtl w:val="0"/>
              </w:rPr>
              <w:t xml:space="preserve"> in Cost-Benefit Analysis.xls)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Break-even Point: (See cell </w:t>
            </w:r>
            <w:r w:rsidDel="00000000" w:rsidR="00000000" w:rsidRPr="00000000">
              <w:rPr>
                <w:b w:val="1"/>
                <w:rtl w:val="0"/>
              </w:rPr>
              <w:t xml:space="preserve">B36</w:t>
            </w:r>
            <w:r w:rsidDel="00000000" w:rsidR="00000000" w:rsidRPr="00000000">
              <w:rPr>
                <w:rtl w:val="0"/>
              </w:rPr>
              <w:t xml:space="preserve"> in Cost-Benefit Analysis.xls)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Intangible Costs and Benefits</w:t>
      </w:r>
    </w:p>
    <w:tbl>
      <w:tblPr>
        <w:tblStyle w:val="Table3"/>
        <w:tblW w:w="10080.0" w:type="dxa"/>
        <w:jc w:val="left"/>
        <w:tblInd w:w="0.0" w:type="pct"/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This service is currently provided by other schools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Verdana" w:cs="Verdana" w:eastAsia="Verdana" w:hAnsi="Verdan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highlight w:val="white"/>
                <w:rtl w:val="0"/>
              </w:rPr>
              <w:t xml:space="preserve">Improved student/staff satisfaction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Organizational Feasibility: If We Build It, Will They Come?</w:t>
      </w:r>
    </w:p>
    <w:tbl>
      <w:tblPr>
        <w:tblStyle w:val="Table4"/>
        <w:tblW w:w="10080.0" w:type="dxa"/>
        <w:jc w:val="left"/>
        <w:tblInd w:w="0.0" w:type="pct"/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Trebuchet MS" w:cs="Trebuchet MS" w:eastAsia="Trebuchet MS" w:hAnsi="Trebuchet MS"/>
                <w:b w:val="1"/>
                <w:color w:val="6abbe0"/>
                <w:sz w:val="28"/>
                <w:szCs w:val="2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Strategic Alignment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Is the project strategically aligned with the business?: Yes. The goals of the project </w:t>
            </w:r>
            <w:r w:rsidDel="00000000" w:rsidR="00000000" w:rsidRPr="00000000">
              <w:rPr>
                <w:rtl w:val="0"/>
              </w:rPr>
              <w:t xml:space="preserve">strongly align with the business objectives.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Project Champion(s): George Washington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Senior Management: Senior IT Staff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Users: </w:t>
            </w:r>
            <w:r w:rsidDel="00000000" w:rsidR="00000000" w:rsidRPr="00000000">
              <w:rPr>
                <w:rtl w:val="0"/>
              </w:rPr>
              <w:t xml:space="preserve">School Staff and 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62626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Other stakeholders: N/A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Additional Comments</w:t>
      </w:r>
    </w:p>
    <w:tbl>
      <w:tblPr>
        <w:tblStyle w:val="Table5"/>
        <w:tblW w:w="9990.0" w:type="dxa"/>
        <w:jc w:val="left"/>
        <w:tblInd w:w="0.0" w:type="pct"/>
        <w:tblLayout w:type="fixed"/>
        <w:tblLook w:val="00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1"/>
        <w:i w:val="0"/>
        <w:smallCaps w:val="0"/>
        <w:strike w:val="0"/>
        <w:color w:val="0096ce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0096ce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262626"/>
        <w:sz w:val="19"/>
        <w:szCs w:val="19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rFonts w:ascii="Trebuchet MS" w:cs="Trebuchet MS" w:eastAsia="Trebuchet MS" w:hAnsi="Trebuchet MS"/>
      <w:color w:val="6abbe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0" w:lineRule="auto"/>
    </w:pPr>
    <w:rPr>
      <w:rFonts w:ascii="Trebuchet MS" w:cs="Trebuchet MS" w:eastAsia="Trebuchet MS" w:hAnsi="Trebuchet MS"/>
      <w:color w:val="0096ce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line="240" w:lineRule="auto"/>
    </w:pPr>
    <w:rPr>
      <w:rFonts w:ascii="Trebuchet MS" w:cs="Trebuchet MS" w:eastAsia="Trebuchet MS" w:hAnsi="Trebuchet MS"/>
      <w:color w:val="0096ce"/>
      <w:sz w:val="40"/>
      <w:szCs w:val="40"/>
    </w:rPr>
  </w:style>
  <w:style w:type="paragraph" w:styleId="Subtitle">
    <w:name w:val="Subtitle"/>
    <w:basedOn w:val="Normal"/>
    <w:next w:val="Normal"/>
    <w:pPr>
      <w:pageBreakBefore w:val="0"/>
      <w:spacing w:after="120" w:line="240" w:lineRule="auto"/>
    </w:pPr>
    <w:rPr>
      <w:color w:val="40404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