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Inspection Approval Note</w:t>
      </w:r>
    </w:p>
    <w:p>
      <w:pPr>
        <w:pStyle w:val="Heading2"/>
      </w:pPr>
      <w:r>
        <w:t>Background</w:t>
      </w:r>
    </w:p>
    <w:p>
      <w:pPr>
        <w:spacing w:after="160"/>
      </w:pPr>
      <w:r>
        <w:t>This approval note concerns the inspection findings of Boiler Unit B-07, conducted on 2026-09-05 by Demo Inspector. The inspection is in accordance with the SOP-101 boiler maintenance procedures, which detail the operating pressure limits and the required documentation for non-conforming readings.</w:t>
      </w:r>
    </w:p>
    <w:p>
      <w:pPr>
        <w:pStyle w:val="Heading2"/>
      </w:pPr>
      <w:r>
        <w:t>Observations</w:t>
      </w:r>
    </w:p>
    <w:p>
      <w:pPr>
        <w:spacing w:after="160"/>
      </w:pPr>
      <w:r>
        <w:t>The inspection recorded an operating pressure of 13.2 bar, which exceeds the standard range of maximum 12 bar for the boiler.</w:t>
      </w:r>
    </w:p>
    <w:p>
      <w:pPr>
        <w:pStyle w:val="Heading2"/>
      </w:pPr>
      <w:r>
        <w:t>Non-Conformities</w:t>
      </w:r>
    </w:p>
    <w:p>
      <w:pPr>
        <w:spacing w:after="160"/>
      </w:pPr>
      <w:r>
        <w:t>The operating pressure of 13.2 bar exceeds the specified maximum limit of 12 bar, as per SOP-101: Boiler Pressure Inspection, Clause 4.2. This non-conformity was recorded at 2026-09-05 and is above the allowed threshold.</w:t>
      </w:r>
    </w:p>
    <w:p>
      <w:pPr>
        <w:pStyle w:val="Heading2"/>
      </w:pPr>
      <w:r>
        <w:t>Recommendation</w:t>
      </w:r>
    </w:p>
    <w:p>
      <w:pPr>
        <w:spacing w:after="160"/>
      </w:pPr>
      <w:r>
        <w:t>Immediate corrective action is required to address this non-conformity. The shift engineer must be notified within one hour of this finding. The boiler should be shut down and the issue investigated. A thorough analysis of the cause of the pressure overrun should be conducted, and any necessary repairs or adjustments must be made to ensure compliance with the SOP. The maintenance log should be updated with this incident, including the inspector's name, date, and instrument serial number, as per Clause 4.4 of the SOP.</w:t>
      </w:r>
    </w:p>
    <w:p/>
    <w:p>
      <w:pPr>
        <w:jc w:val="center"/>
      </w:pPr>
      <w:r>
        <w:rPr>
          <w:i/>
          <w:sz w:val="18"/>
        </w:rPr>
        <w:t>Generated locally by Sovereign AI Workbench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