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C1A1A"/>
          <w:sz w:val="34"/>
          <w:szCs w:val="34"/>
        </w:rPr>
        <w:t xml:space="preserve">SHIVAA JEWELS — "FREE GOLD BISCUIT" FESTIVE CAMPAIGN</w:t>
      </w:r>
    </w:p>
    <w:p>
      <w:pPr>
        <w:spacing w:after="40"/>
        <w:jc w:val="center"/>
      </w:pPr>
      <w:r>
        <w:rPr>
          <w:i/>
          <w:iCs/>
          <w:color w:val="666666"/>
          <w:sz w:val="21"/>
          <w:szCs w:val="21"/>
        </w:rPr>
        <w:t xml:space="preserve">Full Legal, Tax, Compliance, Financial &amp; Marketing Plan — for internal review and investor/financer discussion</w:t>
      </w:r>
    </w:p>
    <w:p>
      <w:pPr>
        <w:spacing w:after="20"/>
        <w:jc w:val="center"/>
      </w:pPr>
      <w:r>
        <w:rPr>
          <w:color w:val="666666"/>
          <w:sz w:val="18"/>
          <w:szCs w:val="18"/>
        </w:rPr>
        <w:t xml:space="preserve">Prepared: September 2026  |  Ernate Shine Jewellery Pvt. Ltd. (Shivaa Jewels)  |  shivaa.in</w:t>
      </w:r>
    </w:p>
    <w:p>
      <w:pPr>
        <w:spacing w:after="300"/>
        <w:jc w:val="center"/>
      </w:pPr>
      <w:r>
        <w:rPr>
          <w:b/>
          <w:bCs/>
          <w:color w:val="666666"/>
          <w:sz w:val="18"/>
          <w:szCs w:val="18"/>
        </w:rPr>
        <w:t xml:space="preserve">Campaign window: 12 Sep 2026 – 31 Dec 2026 (winner announcement)  |  Marketing budget: ₹9,00,000 over 3 months</w:t>
      </w:r>
    </w:p>
    <w:p>
      <w:pPr>
        <w:shd w:fill="F4EBD0" w:val="clear"/>
        <w:spacing w:after="200" w:before="100"/>
      </w:pPr>
      <w:r>
        <w:rPr>
          <w:i/>
          <w:iCs/>
          <w:color w:val="5C1A1A"/>
          <w:sz w:val="20"/>
          <w:szCs w:val="20"/>
        </w:rPr>
        <w:t xml:space="preserve">⚠ This is a comprehensive planning and research document to brief your CA, your consumer/advertising lawyer, and your financer — it is not a substitute for a signed legal opinion or CA sign-off. Given the amounts and the criminal-liability provisions involved (Section 2), do not go live until Section 17 ("Go/No-Go Checklist") is fully ticked.</w:t>
      </w:r>
    </w:p>
    <w:p>
      <w:pPr>
        <w:pStyle w:val="Heading1"/>
        <w:pBdr>
          <w:bottom w:val="single" w:color="9C7A2E" w:sz="8" w:space="4"/>
        </w:pBdr>
        <w:spacing w:after="160" w:before="320"/>
      </w:pPr>
      <w:r>
        <w:rPr>
          <w:b/>
          <w:bCs/>
          <w:color w:val="5C1A1A"/>
          <w:sz w:val="28"/>
          <w:szCs w:val="28"/>
        </w:rPr>
        <w:t xml:space="preserve">0. Executive Summary</w:t>
      </w:r>
    </w:p>
    <w:p>
      <w:pPr>
        <w:spacing w:after="120"/>
      </w:pPr>
      <w:r>
        <w:rPr>
          <w:sz w:val="21"/>
          <w:szCs w:val="21"/>
        </w:rPr>
        <w:t xml:space="preserve">This note updates the earlier draft to the new campaign parameters: the lucky-draw winner is now announced on 31 December 2026 (not 11 November or 12 October), and the Instagram marketing budget is now ₹9,00,000 spread over 3 months (up from ₹5,00,000 over 2 months). The extra ~15 weeks of runway meaningfully de-risks the execution timeline — it gives real room to fix the legal mechanic, finish the 200-manufacturer catalog integration, and run a proper phased marketing plan instead of a rushed one.</w:t>
      </w:r>
    </w:p>
    <w:p>
      <w:pPr>
        <w:spacing w:after="120"/>
      </w:pPr>
      <w:r>
        <w:rPr>
          <w:sz w:val="21"/>
          <w:szCs w:val="21"/>
        </w:rPr>
        <w:t xml:space="preserve">The core finding has not changed: as originally described, this is a purchase-linked lucky draw, which Indian law treats as a private lottery — a real legal exposure, not a formality. The good news is that the fix is well understood, low-cost, and used by virtually every large Indian brand that runs this type of promotion. Everything below is built around that fix.</w:t>
      </w:r>
    </w:p>
    <w:p>
      <w:pPr>
        <w:pStyle w:val="ListParagraph"/>
        <w:numPr>
          <w:ilvl w:val="0"/>
          <w:numId w:val="2"/>
        </w:numPr>
        <w:spacing w:after="80"/>
      </w:pPr>
      <w:r>
        <w:rPr>
          <w:b/>
          <w:bCs/>
          <w:sz w:val="21"/>
          <w:szCs w:val="21"/>
        </w:rPr>
        <w:t xml:space="preserve">Bottom line for the financer: </w:t>
      </w:r>
      <w:r>
        <w:rPr>
          <w:sz w:val="21"/>
          <w:szCs w:val="21"/>
        </w:rPr>
        <w:t xml:space="preserve">this campaign can be run legally, safely, and on-brand — but only if the legal restructuring in Section 3 is completed and signed off in writing before a single rupee of the ₹9,00,000 ad budget is spent, and before any public claim of "free gold" is made.</w:t>
      </w:r>
    </w:p>
    <w:p>
      <w:pPr>
        <w:pStyle w:val="Heading1"/>
        <w:pBdr>
          <w:bottom w:val="single" w:color="9C7A2E" w:sz="8" w:space="4"/>
        </w:pBdr>
        <w:spacing w:after="160" w:before="320"/>
      </w:pPr>
      <w:r>
        <w:rPr>
          <w:b/>
          <w:bCs/>
          <w:color w:val="5C1A1A"/>
          <w:sz w:val="28"/>
          <w:szCs w:val="28"/>
        </w:rPr>
        <w:t xml:space="preserve">1. What Changed From the Earlier Draft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500"/>
      </w:tblGrid>
      <w:tr>
        <w:tc>
          <w:tcPr>
            <w:tcW w:type="dxa" w:w="2600"/>
            <w:shd w:fill="5C1A1A" w:val="clear"/>
            <w:tcMar>
              <w:top w:type="dxa" w:w="80"/>
              <w:left w:type="dxa" w:w="100"/>
              <w:bottom w:type="dxa" w:w="80"/>
              <w:right w:type="dxa" w:w="100"/>
            </w:tcMar>
          </w:tcPr>
          <w:p>
            <w:r>
              <w:rPr>
                <w:b/>
                <w:bCs/>
                <w:color w:val="FFFFFF"/>
                <w:sz w:val="18"/>
                <w:szCs w:val="18"/>
              </w:rPr>
              <w:t xml:space="preserve">Item</w:t>
            </w:r>
          </w:p>
        </w:tc>
        <w:tc>
          <w:tcPr>
            <w:tcW w:type="dxa" w:w="3400"/>
            <w:shd w:fill="5C1A1A" w:val="clear"/>
            <w:tcMar>
              <w:top w:type="dxa" w:w="80"/>
              <w:left w:type="dxa" w:w="100"/>
              <w:bottom w:type="dxa" w:w="80"/>
              <w:right w:type="dxa" w:w="100"/>
            </w:tcMar>
          </w:tcPr>
          <w:p>
            <w:r>
              <w:rPr>
                <w:b/>
                <w:bCs/>
                <w:color w:val="FFFFFF"/>
                <w:sz w:val="18"/>
                <w:szCs w:val="18"/>
              </w:rPr>
              <w:t xml:space="preserve">Earlier draft</w:t>
            </w:r>
          </w:p>
        </w:tc>
        <w:tc>
          <w:tcPr>
            <w:tcW w:type="dxa" w:w="3500"/>
            <w:shd w:fill="5C1A1A" w:val="clear"/>
            <w:tcMar>
              <w:top w:type="dxa" w:w="80"/>
              <w:left w:type="dxa" w:w="100"/>
              <w:bottom w:type="dxa" w:w="80"/>
              <w:right w:type="dxa" w:w="100"/>
            </w:tcMar>
          </w:tcPr>
          <w:p>
            <w:r>
              <w:rPr>
                <w:b/>
                <w:bCs/>
                <w:color w:val="FFFFFF"/>
                <w:sz w:val="18"/>
                <w:szCs w:val="18"/>
              </w:rPr>
              <w:t xml:space="preserve">Now</w:t>
            </w:r>
          </w:p>
        </w:tc>
      </w:tr>
      <w:tr>
        <w:tc>
          <w:tcPr>
            <w:tcW w:type="dxa" w:w="2600"/>
            <w:tcMar>
              <w:top w:type="dxa" w:w="80"/>
              <w:left w:type="dxa" w:w="100"/>
              <w:bottom w:type="dxa" w:w="80"/>
              <w:right w:type="dxa" w:w="100"/>
            </w:tcMar>
          </w:tcPr>
          <w:p>
            <w:r>
              <w:rPr>
                <w:b w:val="false"/>
                <w:bCs w:val="false"/>
                <w:color w:val="000000"/>
                <w:sz w:val="18"/>
                <w:szCs w:val="18"/>
              </w:rPr>
              <w:t xml:space="preserve">Winner announcement date</w:t>
            </w:r>
          </w:p>
        </w:tc>
        <w:tc>
          <w:tcPr>
            <w:tcW w:type="dxa" w:w="3400"/>
            <w:tcMar>
              <w:top w:type="dxa" w:w="80"/>
              <w:left w:type="dxa" w:w="100"/>
              <w:bottom w:type="dxa" w:w="80"/>
              <w:right w:type="dxa" w:w="100"/>
            </w:tcMar>
          </w:tcPr>
          <w:p>
            <w:r>
              <w:rPr>
                <w:b w:val="false"/>
                <w:bCs w:val="false"/>
                <w:color w:val="000000"/>
                <w:sz w:val="18"/>
                <w:szCs w:val="18"/>
              </w:rPr>
              <w:t xml:space="preserve">First stated as 11 Nov 2026 (Bhai Dooj), then 12 Oct 2026</w:t>
            </w:r>
          </w:p>
        </w:tc>
        <w:tc>
          <w:tcPr>
            <w:tcW w:type="dxa" w:w="3500"/>
            <w:tcMar>
              <w:top w:type="dxa" w:w="80"/>
              <w:left w:type="dxa" w:w="100"/>
              <w:bottom w:type="dxa" w:w="80"/>
              <w:right w:type="dxa" w:w="100"/>
            </w:tcMar>
          </w:tcPr>
          <w:p>
            <w:r>
              <w:rPr>
                <w:b w:val="false"/>
                <w:bCs w:val="false"/>
                <w:color w:val="000000"/>
                <w:sz w:val="18"/>
                <w:szCs w:val="18"/>
              </w:rPr>
              <w:t xml:space="preserve">31 December 2026</w:t>
            </w:r>
          </w:p>
        </w:tc>
      </w:tr>
      <w:tr>
        <w:tc>
          <w:tcPr>
            <w:tcW w:type="dxa" w:w="2600"/>
            <w:tcMar>
              <w:top w:type="dxa" w:w="80"/>
              <w:left w:type="dxa" w:w="100"/>
              <w:bottom w:type="dxa" w:w="80"/>
              <w:right w:type="dxa" w:w="100"/>
            </w:tcMar>
          </w:tcPr>
          <w:p>
            <w:r>
              <w:rPr>
                <w:b w:val="false"/>
                <w:bCs w:val="false"/>
                <w:color w:val="000000"/>
                <w:sz w:val="18"/>
                <w:szCs w:val="18"/>
              </w:rPr>
              <w:t xml:space="preserve">Total campaign runway</w:t>
            </w:r>
          </w:p>
        </w:tc>
        <w:tc>
          <w:tcPr>
            <w:tcW w:type="dxa" w:w="3400"/>
            <w:tcMar>
              <w:top w:type="dxa" w:w="80"/>
              <w:left w:type="dxa" w:w="100"/>
              <w:bottom w:type="dxa" w:w="80"/>
              <w:right w:type="dxa" w:w="100"/>
            </w:tcMar>
          </w:tcPr>
          <w:p>
            <w:r>
              <w:rPr>
                <w:b w:val="false"/>
                <w:bCs w:val="false"/>
                <w:color w:val="000000"/>
                <w:sz w:val="18"/>
                <w:szCs w:val="18"/>
              </w:rPr>
              <w:t xml:space="preserve">~30–60 days</w:t>
            </w:r>
          </w:p>
        </w:tc>
        <w:tc>
          <w:tcPr>
            <w:tcW w:type="dxa" w:w="3500"/>
            <w:tcMar>
              <w:top w:type="dxa" w:w="80"/>
              <w:left w:type="dxa" w:w="100"/>
              <w:bottom w:type="dxa" w:w="80"/>
              <w:right w:type="dxa" w:w="100"/>
            </w:tcMar>
          </w:tcPr>
          <w:p>
            <w:r>
              <w:rPr>
                <w:b w:val="false"/>
                <w:bCs w:val="false"/>
                <w:color w:val="000000"/>
                <w:sz w:val="18"/>
                <w:szCs w:val="18"/>
              </w:rPr>
              <w:t xml:space="preserve">~15.5 weeks (12 Sep – 31 Dec 2026)</w:t>
            </w:r>
          </w:p>
        </w:tc>
      </w:tr>
      <w:tr>
        <w:tc>
          <w:tcPr>
            <w:tcW w:type="dxa" w:w="2600"/>
            <w:tcMar>
              <w:top w:type="dxa" w:w="80"/>
              <w:left w:type="dxa" w:w="100"/>
              <w:bottom w:type="dxa" w:w="80"/>
              <w:right w:type="dxa" w:w="100"/>
            </w:tcMar>
          </w:tcPr>
          <w:p>
            <w:r>
              <w:rPr>
                <w:b w:val="false"/>
                <w:bCs w:val="false"/>
                <w:color w:val="000000"/>
                <w:sz w:val="18"/>
                <w:szCs w:val="18"/>
              </w:rPr>
              <w:t xml:space="preserve">Marketing budget</w:t>
            </w:r>
          </w:p>
        </w:tc>
        <w:tc>
          <w:tcPr>
            <w:tcW w:type="dxa" w:w="3400"/>
            <w:tcMar>
              <w:top w:type="dxa" w:w="80"/>
              <w:left w:type="dxa" w:w="100"/>
              <w:bottom w:type="dxa" w:w="80"/>
              <w:right w:type="dxa" w:w="100"/>
            </w:tcMar>
          </w:tcPr>
          <w:p>
            <w:r>
              <w:rPr>
                <w:b w:val="false"/>
                <w:bCs w:val="false"/>
                <w:color w:val="000000"/>
                <w:sz w:val="18"/>
                <w:szCs w:val="18"/>
              </w:rPr>
              <w:t xml:space="preserve">₹5,00,000 over 2 months</w:t>
            </w:r>
          </w:p>
        </w:tc>
        <w:tc>
          <w:tcPr>
            <w:tcW w:type="dxa" w:w="3500"/>
            <w:tcMar>
              <w:top w:type="dxa" w:w="80"/>
              <w:left w:type="dxa" w:w="100"/>
              <w:bottom w:type="dxa" w:w="80"/>
              <w:right w:type="dxa" w:w="100"/>
            </w:tcMar>
          </w:tcPr>
          <w:p>
            <w:r>
              <w:rPr>
                <w:b w:val="false"/>
                <w:bCs w:val="false"/>
                <w:color w:val="000000"/>
                <w:sz w:val="18"/>
                <w:szCs w:val="18"/>
              </w:rPr>
              <w:t xml:space="preserve">₹9,00,000 over 3 months</w:t>
            </w:r>
          </w:p>
        </w:tc>
      </w:tr>
      <w:tr>
        <w:tc>
          <w:tcPr>
            <w:tcW w:type="dxa" w:w="2600"/>
            <w:tcMar>
              <w:top w:type="dxa" w:w="80"/>
              <w:left w:type="dxa" w:w="100"/>
              <w:bottom w:type="dxa" w:w="80"/>
              <w:right w:type="dxa" w:w="100"/>
            </w:tcMar>
          </w:tcPr>
          <w:p>
            <w:r>
              <w:rPr>
                <w:b w:val="false"/>
                <w:bCs w:val="false"/>
                <w:color w:val="000000"/>
                <w:sz w:val="18"/>
                <w:szCs w:val="18"/>
              </w:rPr>
              <w:t xml:space="preserve">Implication</w:t>
            </w:r>
          </w:p>
        </w:tc>
        <w:tc>
          <w:tcPr>
            <w:tcW w:type="dxa" w:w="3400"/>
            <w:tcMar>
              <w:top w:type="dxa" w:w="80"/>
              <w:left w:type="dxa" w:w="100"/>
              <w:bottom w:type="dxa" w:w="80"/>
              <w:right w:type="dxa" w:w="100"/>
            </w:tcMar>
          </w:tcPr>
          <w:p>
            <w:r>
              <w:rPr>
                <w:b w:val="false"/>
                <w:bCs w:val="false"/>
                <w:color w:val="000000"/>
                <w:sz w:val="18"/>
                <w:szCs w:val="18"/>
              </w:rPr>
              <w:t xml:space="preserve">Very tight — legal fix, website build, and marketing had to overlap riskily</w:t>
            </w:r>
          </w:p>
        </w:tc>
        <w:tc>
          <w:tcPr>
            <w:tcW w:type="dxa" w:w="3500"/>
            <w:tcMar>
              <w:top w:type="dxa" w:w="80"/>
              <w:left w:type="dxa" w:w="100"/>
              <w:bottom w:type="dxa" w:w="80"/>
              <w:right w:type="dxa" w:w="100"/>
            </w:tcMar>
          </w:tcPr>
          <w:p>
            <w:r>
              <w:rPr>
                <w:b w:val="false"/>
                <w:bCs w:val="false"/>
                <w:color w:val="000000"/>
                <w:sz w:val="18"/>
                <w:szCs w:val="18"/>
              </w:rPr>
              <w:t xml:space="preserve">Comfortable — phases can run sequentially with buffer; more paid-media weight to work with</w:t>
            </w:r>
          </w:p>
        </w:tc>
      </w:tr>
    </w:tbl>
    <w:p>
      <w:pPr>
        <w:pStyle w:val="Heading1"/>
        <w:pBdr>
          <w:bottom w:val="single" w:color="9C7A2E" w:sz="8" w:space="4"/>
        </w:pBdr>
        <w:spacing w:after="160" w:before="320"/>
      </w:pPr>
      <w:r>
        <w:rPr>
          <w:b/>
          <w:bCs/>
          <w:color w:val="5C1A1A"/>
          <w:sz w:val="28"/>
          <w:szCs w:val="28"/>
        </w:rPr>
        <w:t xml:space="preserve">2. The Central Legal Risk — Lottery vs. Legal Prize Contest</w:t>
      </w:r>
    </w:p>
    <w:p>
      <w:pPr>
        <w:pStyle w:val="Heading2"/>
        <w:spacing w:after="100" w:before="240"/>
      </w:pPr>
      <w:r>
        <w:rPr>
          <w:b/>
          <w:bCs/>
          <w:color w:val="9C7A2E"/>
          <w:sz w:val="23"/>
          <w:szCs w:val="23"/>
        </w:rPr>
        <w:t xml:space="preserve">2.1 Why the scheme as described is legally a "lottery"</w:t>
      </w:r>
    </w:p>
    <w:p>
      <w:pPr>
        <w:spacing w:after="120"/>
      </w:pPr>
      <w:r>
        <w:rPr>
          <w:sz w:val="21"/>
          <w:szCs w:val="21"/>
        </w:rPr>
        <w:t xml:space="preserve">Indian law tests three ingredients to decide if something is an illegal lottery: (1) a prize, (2) distributed by chance/lot, and (3) consideration — the participant has to pay or buy something to be in the draw. Your plan has all three: the 100g gold biscuit is the prize, the winner is picked in a live draw (chance), and entry requires a minimum ₹5g gold / 100g silver purchase (consideration). That combination is what Section 2(b) of the Lotteries (Regulation) Act, 1998 and Section 294-A of the Indian Penal Code target, and it is separately called out as an "unfair trade practice" under Section 2(47) of the Consumer Protection Act, 2019 — conducting a lottery or a contest of skill or chance to promote the sale of goods.</w:t>
      </w:r>
    </w:p>
    <w:p>
      <w:pPr>
        <w:spacing w:after="120"/>
      </w:pPr>
      <w:r>
        <w:rPr>
          <w:sz w:val="21"/>
          <w:szCs w:val="21"/>
        </w:rPr>
        <w:t xml:space="preserve">Several states go further and specifically ban any prize draw tied to a purchase, however it is labelled (Tamil Nadu's Prize Scheme Prohibition Act is the strictest example; Maharashtra taxes/regulates such schemes separately under its own Lotteries and Prize Competitions law). Because shivaa.in sells and ships pan-India, you are potentially exposed to the strictest state law that applies to any customer who enters — not just Rajasthan's law.</w:t>
      </w:r>
    </w:p>
    <w:p>
      <w:pPr>
        <w:shd w:fill="F4EBD0" w:val="clear"/>
        <w:spacing w:after="200" w:before="100"/>
      </w:pPr>
      <w:r>
        <w:rPr>
          <w:i/>
          <w:iCs/>
          <w:color w:val="5C1A1A"/>
          <w:sz w:val="20"/>
          <w:szCs w:val="20"/>
        </w:rPr>
        <w:t xml:space="preserve">⚠ This is a genuine criminal-law exposure (imprisonment is a stated penalty under Section 294-A IPC and under the Lotteries Act), not just a fine-and-move-on risk. With a longer, higher-visibility campaign now running for 3.5 months, the exposure window is also longer — one more reason to fix the mechanic before, not during, the campaign.</w:t>
      </w:r>
    </w:p>
    <w:p>
      <w:pPr>
        <w:pStyle w:val="Heading2"/>
        <w:spacing w:after="100" w:before="240"/>
      </w:pPr>
      <w:r>
        <w:rPr>
          <w:b/>
          <w:bCs/>
          <w:color w:val="9C7A2E"/>
          <w:sz w:val="23"/>
          <w:szCs w:val="23"/>
        </w:rPr>
        <w:t xml:space="preserve">2.2 The quiz is the right instinct — make it genuinely skill-based</w:t>
      </w:r>
    </w:p>
    <w:p>
      <w:pPr>
        <w:pStyle w:val="ListParagraph"/>
        <w:numPr>
          <w:ilvl w:val="0"/>
          <w:numId w:val="2"/>
        </w:numPr>
        <w:spacing w:after="60"/>
      </w:pPr>
      <w:r>
        <w:rPr>
          <w:sz w:val="21"/>
          <w:szCs w:val="21"/>
        </w:rPr>
        <w:t xml:space="preserve">The quiz needs objectively right/wrong answers or a scored/judged element (e.g. a numeric tie-breaker like "guess the closing MCX gold rate on 31 Dec", or a creative caption/photo contest judged by a panel) — not trivia everyone can answer correctly.</w:t>
      </w:r>
    </w:p>
    <w:p>
      <w:pPr>
        <w:pStyle w:val="ListParagraph"/>
        <w:numPr>
          <w:ilvl w:val="0"/>
          <w:numId w:val="2"/>
        </w:numPr>
        <w:spacing w:after="60"/>
      </w:pPr>
      <w:r>
        <w:rPr>
          <w:sz w:val="21"/>
          <w:szCs w:val="21"/>
        </w:rPr>
        <w:t xml:space="preserve">Winners should be determined by quiz performance (best score / closest guess / best judged answer), not by a random draw among everyone who merely attempted the quiz.</w:t>
      </w:r>
    </w:p>
    <w:p>
      <w:pPr>
        <w:pStyle w:val="ListParagraph"/>
        <w:numPr>
          <w:ilvl w:val="0"/>
          <w:numId w:val="2"/>
        </w:numPr>
        <w:spacing w:after="60"/>
      </w:pPr>
      <w:r>
        <w:rPr>
          <w:sz w:val="21"/>
          <w:szCs w:val="21"/>
        </w:rPr>
        <w:t xml:space="preserve">Publish the judging criteria and process in writing, and follow them exactly — inconsistent judging is itself treated as an unfair trade practice.</w:t>
      </w:r>
    </w:p>
    <w:p>
      <w:pPr>
        <w:pStyle w:val="Heading2"/>
        <w:spacing w:after="100" w:before="240"/>
      </w:pPr>
      <w:r>
        <w:rPr>
          <w:b/>
          <w:bCs/>
          <w:color w:val="9C7A2E"/>
          <w:sz w:val="23"/>
          <w:szCs w:val="23"/>
        </w:rPr>
        <w:t xml:space="preserve">2.3 The essential structural fix: a genuine "no purchase necessary" route</w:t>
      </w:r>
    </w:p>
    <w:p>
      <w:pPr>
        <w:spacing w:after="120"/>
      </w:pPr>
      <w:r>
        <w:rPr>
          <w:sz w:val="21"/>
          <w:szCs w:val="21"/>
        </w:rPr>
        <w:t xml:space="preserve">Every legally-run Indian promotional contest (bank offers, FMCG "scan and win", e-commerce app contests) keeps one alternate entry route that does not require any purchase, with identical odds of winning. This removes "consideration" from the legal equation and is what allows the campaign to run as a contest rather than a lottery.</w:t>
      </w:r>
    </w:p>
    <w:p>
      <w:pPr>
        <w:pStyle w:val="ListParagraph"/>
        <w:numPr>
          <w:ilvl w:val="0"/>
          <w:numId w:val="2"/>
        </w:numPr>
        <w:spacing w:after="60"/>
      </w:pPr>
      <w:r>
        <w:rPr>
          <w:sz w:val="21"/>
          <w:szCs w:val="21"/>
        </w:rPr>
        <w:t xml:space="preserve">Add a clearly visible "Enter free, no purchase necessary" link/form on shivaa.in and in every Instagram post, using the same quiz and the same odds as paying entrants.</w:t>
      </w:r>
    </w:p>
    <w:p>
      <w:pPr>
        <w:pStyle w:val="ListParagraph"/>
        <w:numPr>
          <w:ilvl w:val="0"/>
          <w:numId w:val="2"/>
        </w:numPr>
        <w:spacing w:after="60"/>
      </w:pPr>
      <w:r>
        <w:rPr>
          <w:sz w:val="21"/>
          <w:szCs w:val="21"/>
        </w:rPr>
        <w:t xml:space="preserve">This is close to the standard legal test applied to these campaigns — treat it as non-negotiable, not a nice-to-have.</w:t>
      </w:r>
    </w:p>
    <w:p>
      <w:pPr>
        <w:pStyle w:val="Heading2"/>
        <w:spacing w:after="100" w:before="240"/>
      </w:pPr>
      <w:r>
        <w:rPr>
          <w:b/>
          <w:bCs/>
          <w:color w:val="9C7A2E"/>
          <w:sz w:val="23"/>
          <w:szCs w:val="23"/>
        </w:rPr>
        <w:t xml:space="preserve">2.4 Advertising compliance — the "100% FREE" wording</w:t>
      </w:r>
    </w:p>
    <w:p>
      <w:pPr>
        <w:spacing w:after="120"/>
      </w:pPr>
      <w:r>
        <w:rPr>
          <w:sz w:val="21"/>
          <w:szCs w:val="21"/>
        </w:rPr>
        <w:t xml:space="preserve">The CCPA's Guidelines for Prevention of Misleading Advertisements, 2022 (under the Consumer Protection Act, 2019) prohibit describing something as "free" if the consumer has to pay anything beyond an unavoidable cost to get it. Since a minimum purchase is required, calling the gold biscuit "100% free" is a misleading claim as worded, and can draw a CCPA penalty of up to ₹10 lakh (up to ₹50 lakh on repeat violation), in addition to consumer complaints.</w:t>
      </w:r>
    </w:p>
    <w:p>
      <w:pPr>
        <w:pStyle w:val="ListParagraph"/>
        <w:numPr>
          <w:ilvl w:val="0"/>
          <w:numId w:val="2"/>
        </w:numPr>
        <w:spacing w:after="60"/>
      </w:pPr>
      <w:r>
        <w:rPr>
          <w:sz w:val="21"/>
          <w:szCs w:val="21"/>
        </w:rPr>
        <w:t xml:space="preserve">Reword every script/creative: "Win a 100g gold biscuit" / "Stand a chance to win" / "One lucky winner gets..." — with the purchase condition and full terms stated in the same breath, not buried in fine print.</w:t>
      </w:r>
    </w:p>
    <w:p>
      <w:pPr>
        <w:pStyle w:val="ListParagraph"/>
        <w:numPr>
          <w:ilvl w:val="0"/>
          <w:numId w:val="2"/>
        </w:numPr>
        <w:spacing w:after="60"/>
      </w:pPr>
      <w:r>
        <w:rPr>
          <w:sz w:val="21"/>
          <w:szCs w:val="21"/>
        </w:rPr>
        <w:t xml:space="preserve">State the prize value as an estimate tied to the gold rate ("value at today's rate approx. ₹15 lakh, will vary with the gold price on the draw date") — with a 3.5-month gap between announcement and the 31 Dec draw, the actual value of 100g gold could differ meaningfully from ₹15 lakh by year-end; do not lock in a guaranteed rupee figure.</w:t>
      </w:r>
    </w:p>
    <w:p>
      <w:pPr>
        <w:pStyle w:val="ListParagraph"/>
        <w:numPr>
          <w:ilvl w:val="0"/>
          <w:numId w:val="2"/>
        </w:numPr>
        <w:spacing w:after="60"/>
      </w:pPr>
      <w:r>
        <w:rPr>
          <w:sz w:val="21"/>
          <w:szCs w:val="21"/>
        </w:rPr>
        <w:t xml:space="preserve">All material conditions — minimum purchase, one entry per person/KYC, odds, exact draw date and process, how the winner is verified and contacted, and who bears the tax — must be stated clearly enough for a viewer to judge their real chances, not just in a linked T&amp;C page.</w:t>
      </w:r>
    </w:p>
    <w:p>
      <w:pPr>
        <w:spacing w:after="80" w:before="160"/>
      </w:pPr>
      <w:r>
        <w:rPr>
          <w:b/>
          <w:bCs/>
          <w:i/>
          <w:iCs/>
          <w:color w:val="5C1A1A"/>
          <w:sz w:val="21"/>
          <w:szCs w:val="21"/>
        </w:rPr>
        <w:t xml:space="preserve">Mid-campaign compliance discipline</w:t>
      </w:r>
    </w:p>
    <w:p>
      <w:pPr>
        <w:spacing w:after="120"/>
      </w:pPr>
      <w:r>
        <w:rPr>
          <w:sz w:val="21"/>
          <w:szCs w:val="21"/>
        </w:rPr>
        <w:t xml:space="preserve">A 3.5-month, high-visibility campaign draws more sustained attention than a 30-day one. Build in a compliance checkpoint roughly every 4–5 weeks: review live ad creatives against the CCPA wording rules, check the grievance log, and confirm the free-entry route is still functioning and equally promoted — not quietly deprioritised once purchases start flowing in.</w:t>
      </w:r>
    </w:p>
    <w:p>
      <w:pPr>
        <w:pStyle w:val="Heading1"/>
        <w:pBdr>
          <w:bottom w:val="single" w:color="9C7A2E" w:sz="8" w:space="4"/>
        </w:pBdr>
        <w:spacing w:after="160" w:before="320"/>
      </w:pPr>
      <w:r>
        <w:rPr>
          <w:b/>
          <w:bCs/>
          <w:color w:val="5C1A1A"/>
          <w:sz w:val="28"/>
          <w:szCs w:val="28"/>
        </w:rPr>
        <w:t xml:space="preserve">3. Tax Compliance on the Prize</w:t>
      </w:r>
    </w:p>
    <w:p>
      <w:pPr>
        <w:pStyle w:val="Heading2"/>
        <w:spacing w:after="100" w:before="240"/>
      </w:pPr>
      <w:r>
        <w:rPr>
          <w:b/>
          <w:bCs/>
          <w:color w:val="9C7A2E"/>
          <w:sz w:val="23"/>
          <w:szCs w:val="23"/>
        </w:rPr>
        <w:t xml:space="preserve">3.1 The winner's tax liability — 30% flat, deducted at source</w:t>
      </w:r>
    </w:p>
    <w:p>
      <w:pPr>
        <w:spacing w:after="120"/>
      </w:pPr>
      <w:r>
        <w:rPr>
          <w:sz w:val="21"/>
          <w:szCs w:val="21"/>
        </w:rPr>
        <w:t xml:space="preserve">Winnings from a lottery, prize draw, contest, or game of any kind are taxed under Section 115BB of the Income Tax Act at a flat 30% (plus applicable cess, effectively ~31.2%), regardless of the winner's income slab, with no deductions allowed against it. The company distributing the prize is legally required to deduct this tax before releasing the prize, under the TDS provision formerly numbered Section 194B (renumbered Section 393(3) Sl.1 under the new Income Tax Act effective 1 April 2026 — same rate and rule, new section number only).</w:t>
      </w:r>
    </w:p>
    <w:p>
      <w:pPr>
        <w:spacing w:after="120"/>
      </w:pPr>
      <w:r>
        <w:rPr>
          <w:sz w:val="21"/>
          <w:szCs w:val="21"/>
        </w:rPr>
        <w:t xml:space="preserve">Because the entire prize is in kind (gold, not cash), the winner cannot pay TDS out of the prize itself. The law requires either: the winner deposits the TDS amount in cash before collecting the gold, or the company "grosses up" and bears the tax itself. State this decision clearly in the T&amp;C before launch — do not leave it to be negotiated live on camera at the hand-over.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800"/>
      </w:tblGrid>
      <w:tr>
        <w:tc>
          <w:tcPr>
            <w:tcW w:type="dxa" w:w="2700"/>
            <w:shd w:fill="5C1A1A" w:val="clear"/>
            <w:tcMar>
              <w:top w:type="dxa" w:w="80"/>
              <w:left w:type="dxa" w:w="100"/>
              <w:bottom w:type="dxa" w:w="80"/>
              <w:right w:type="dxa" w:w="100"/>
            </w:tcMar>
          </w:tcPr>
          <w:p>
            <w:r>
              <w:rPr>
                <w:b/>
                <w:bCs/>
                <w:color w:val="FFFFFF"/>
                <w:sz w:val="18"/>
                <w:szCs w:val="18"/>
              </w:rPr>
              <w:t xml:space="preserve">Scenario</w:t>
            </w:r>
          </w:p>
        </w:tc>
        <w:tc>
          <w:tcPr>
            <w:tcW w:type="dxa" w:w="4000"/>
            <w:shd w:fill="5C1A1A" w:val="clear"/>
            <w:tcMar>
              <w:top w:type="dxa" w:w="80"/>
              <w:left w:type="dxa" w:w="100"/>
              <w:bottom w:type="dxa" w:w="80"/>
              <w:right w:type="dxa" w:w="100"/>
            </w:tcMar>
          </w:tcPr>
          <w:p>
            <w:r>
              <w:rPr>
                <w:b/>
                <w:bCs/>
                <w:color w:val="FFFFFF"/>
                <w:sz w:val="18"/>
                <w:szCs w:val="18"/>
              </w:rPr>
              <w:t xml:space="preserve">How it works</w:t>
            </w:r>
          </w:p>
        </w:tc>
        <w:tc>
          <w:tcPr>
            <w:tcW w:type="dxa" w:w="2800"/>
            <w:shd w:fill="5C1A1A" w:val="clear"/>
            <w:tcMar>
              <w:top w:type="dxa" w:w="80"/>
              <w:left w:type="dxa" w:w="100"/>
              <w:bottom w:type="dxa" w:w="80"/>
              <w:right w:type="dxa" w:w="100"/>
            </w:tcMar>
          </w:tcPr>
          <w:p>
            <w:r>
              <w:rPr>
                <w:b/>
                <w:bCs/>
                <w:color w:val="FFFFFF"/>
                <w:sz w:val="18"/>
                <w:szCs w:val="18"/>
              </w:rPr>
              <w:t xml:space="preserve">Approximate numbers (at ₹15L prize value)</w:t>
            </w:r>
          </w:p>
        </w:tc>
      </w:tr>
      <w:tr>
        <w:tc>
          <w:tcPr>
            <w:tcW w:type="dxa" w:w="2700"/>
            <w:tcMar>
              <w:top w:type="dxa" w:w="80"/>
              <w:left w:type="dxa" w:w="100"/>
              <w:bottom w:type="dxa" w:w="80"/>
              <w:right w:type="dxa" w:w="100"/>
            </w:tcMar>
          </w:tcPr>
          <w:p>
            <w:r>
              <w:rPr>
                <w:b w:val="false"/>
                <w:bCs w:val="false"/>
                <w:color w:val="000000"/>
                <w:sz w:val="18"/>
                <w:szCs w:val="18"/>
              </w:rPr>
              <w:t xml:space="preserve">A — Winner bears the tax (recommended, simpler)</w:t>
            </w:r>
          </w:p>
        </w:tc>
        <w:tc>
          <w:tcPr>
            <w:tcW w:type="dxa" w:w="4000"/>
            <w:tcMar>
              <w:top w:type="dxa" w:w="80"/>
              <w:left w:type="dxa" w:w="100"/>
              <w:bottom w:type="dxa" w:w="80"/>
              <w:right w:type="dxa" w:w="100"/>
            </w:tcMar>
          </w:tcPr>
          <w:p>
            <w:r>
              <w:rPr>
                <w:b w:val="false"/>
                <w:bCs w:val="false"/>
                <w:color w:val="000000"/>
                <w:sz w:val="18"/>
                <w:szCs w:val="18"/>
              </w:rPr>
              <w:t xml:space="preserve">Winner deposits 30% TDS in cash before collecting the biscuit; company remits it as TDS on the winner's PAN</w:t>
            </w:r>
          </w:p>
        </w:tc>
        <w:tc>
          <w:tcPr>
            <w:tcW w:type="dxa" w:w="2800"/>
            <w:tcMar>
              <w:top w:type="dxa" w:w="80"/>
              <w:left w:type="dxa" w:w="100"/>
              <w:bottom w:type="dxa" w:w="80"/>
              <w:right w:type="dxa" w:w="100"/>
            </w:tcMar>
          </w:tcPr>
          <w:p>
            <w:r>
              <w:rPr>
                <w:b w:val="false"/>
                <w:bCs w:val="false"/>
                <w:color w:val="000000"/>
                <w:sz w:val="18"/>
                <w:szCs w:val="18"/>
              </w:rPr>
              <w:t xml:space="preserve">Winner deposits ~₹4,50,000 cash; company's cost stays at the ₹15,00,000 gold value</w:t>
            </w:r>
          </w:p>
        </w:tc>
      </w:tr>
      <w:tr>
        <w:tc>
          <w:tcPr>
            <w:tcW w:type="dxa" w:w="2700"/>
            <w:tcMar>
              <w:top w:type="dxa" w:w="80"/>
              <w:left w:type="dxa" w:w="100"/>
              <w:bottom w:type="dxa" w:w="80"/>
              <w:right w:type="dxa" w:w="100"/>
            </w:tcMar>
          </w:tcPr>
          <w:p>
            <w:r>
              <w:rPr>
                <w:b w:val="false"/>
                <w:bCs w:val="false"/>
                <w:color w:val="000000"/>
                <w:sz w:val="18"/>
                <w:szCs w:val="18"/>
              </w:rPr>
              <w:t xml:space="preserve">B — Company bears/grosses up the tax</w:t>
            </w:r>
          </w:p>
        </w:tc>
        <w:tc>
          <w:tcPr>
            <w:tcW w:type="dxa" w:w="4000"/>
            <w:tcMar>
              <w:top w:type="dxa" w:w="80"/>
              <w:left w:type="dxa" w:w="100"/>
              <w:bottom w:type="dxa" w:w="80"/>
              <w:right w:type="dxa" w:w="100"/>
            </w:tcMar>
          </w:tcPr>
          <w:p>
            <w:r>
              <w:rPr>
                <w:b w:val="false"/>
                <w:bCs w:val="false"/>
                <w:color w:val="000000"/>
                <w:sz w:val="18"/>
                <w:szCs w:val="18"/>
              </w:rPr>
              <w:t xml:space="preserve">Company pays the TDS on the winner's behalf; that payment is itself treated as an additional benefit and gets taxed again (grossing-up formula: value ÷ (1 − 30%))</w:t>
            </w:r>
          </w:p>
        </w:tc>
        <w:tc>
          <w:tcPr>
            <w:tcW w:type="dxa" w:w="2800"/>
            <w:tcMar>
              <w:top w:type="dxa" w:w="80"/>
              <w:left w:type="dxa" w:w="100"/>
              <w:bottom w:type="dxa" w:w="80"/>
              <w:right w:type="dxa" w:w="100"/>
            </w:tcMar>
          </w:tcPr>
          <w:p>
            <w:r>
              <w:rPr>
                <w:b w:val="false"/>
                <w:bCs w:val="false"/>
                <w:color w:val="000000"/>
                <w:sz w:val="18"/>
                <w:szCs w:val="18"/>
              </w:rPr>
              <w:t xml:space="preserve">Grossed-up value ≈ ₹21,42,857; additional tax the company effectively absorbs ≈ ₹6,42,857 on top of the ₹15,00,000 gold</w:t>
            </w:r>
          </w:p>
        </w:tc>
      </w:tr>
    </w:tbl>
    <w:p>
      <w:pPr>
        <w:pStyle w:val="ListParagraph"/>
        <w:numPr>
          <w:ilvl w:val="0"/>
          <w:numId w:val="2"/>
        </w:numPr>
        <w:spacing w:after="60"/>
      </w:pPr>
      <w:r>
        <w:rPr>
          <w:sz w:val="21"/>
          <w:szCs w:val="21"/>
        </w:rPr>
        <w:t xml:space="preserve">Collect the winner's PAN before the draw is finalised — a materially higher TDS rate applies if PAN is not furnished, and the winner may need to be barred from collecting the prize until KYC/PAN is complete.</w:t>
      </w:r>
    </w:p>
    <w:p>
      <w:pPr>
        <w:pStyle w:val="ListParagraph"/>
        <w:numPr>
          <w:ilvl w:val="0"/>
          <w:numId w:val="2"/>
        </w:numPr>
        <w:spacing w:after="60"/>
      </w:pPr>
      <w:r>
        <w:rPr>
          <w:sz w:val="21"/>
          <w:szCs w:val="21"/>
        </w:rPr>
        <w:t xml:space="preserve">File TDS returns and issue the correct Form 26AS/16A entries — treat this like any other statutory TDS compliance with the usual quarterly return and challan deadlines.</w:t>
      </w:r>
    </w:p>
    <w:p>
      <w:pPr>
        <w:pStyle w:val="Heading2"/>
        <w:spacing w:after="100" w:before="240"/>
      </w:pPr>
      <w:r>
        <w:rPr>
          <w:b/>
          <w:bCs/>
          <w:color w:val="9C7A2E"/>
          <w:sz w:val="23"/>
          <w:szCs w:val="23"/>
        </w:rPr>
        <w:t xml:space="preserve">3.2 Section 194R does NOT apply here</w:t>
      </w:r>
    </w:p>
    <w:p>
      <w:pPr>
        <w:spacing w:after="120"/>
      </w:pPr>
      <w:r>
        <w:rPr>
          <w:sz w:val="21"/>
          <w:szCs w:val="21"/>
        </w:rPr>
        <w:t xml:space="preserve">Section 194R (10% TDS on business perquisites) applies only when the recipient is themselves carrying on a business or profession and the benefit arises from that business relationship (e.g. gifts to dealers, distributors, or doctors). A retail customer winning a consumer lucky draw is not covered by Section 194R — the correct provision is 194B/115BB above. Keep this distinction clear for your CA so the wrong section isn't applied in your books.</w:t>
      </w:r>
    </w:p>
    <w:p>
      <w:pPr>
        <w:pStyle w:val="Heading1"/>
        <w:pBdr>
          <w:bottom w:val="single" w:color="9C7A2E" w:sz="8" w:space="4"/>
        </w:pBdr>
        <w:spacing w:after="160" w:before="320"/>
      </w:pPr>
      <w:r>
        <w:rPr>
          <w:b/>
          <w:bCs/>
          <w:color w:val="5C1A1A"/>
          <w:sz w:val="28"/>
          <w:szCs w:val="28"/>
        </w:rPr>
        <w:t xml:space="preserve">4. GST &amp; Cost Structuring</w:t>
      </w:r>
    </w:p>
    <w:p>
      <w:pPr>
        <w:spacing w:after="120"/>
      </w:pPr>
      <w:r>
        <w:rPr>
          <w:sz w:val="21"/>
          <w:szCs w:val="21"/>
        </w:rPr>
        <w:t xml:space="preserve">Gold given away without separate consideration is generally treated as a "gift" for GST purposes, which triggers input tax credit (ITC) reversal on the corresponding purchase under Section 17(5)(h) of the CGST Act — ITC cannot be claimed (or must be reversed if already claimed) on gold bought specifically to give away free. Whether the biscuit is booked as a standalone marketing/business-promotion expense (with ITC reversed) or structured into a composite/mixed supply bundled with qualifying purchases changes your GST outflow meaningfully.</w:t>
      </w:r>
    </w:p>
    <w:p>
      <w:pPr>
        <w:pStyle w:val="ListParagraph"/>
        <w:numPr>
          <w:ilvl w:val="0"/>
          <w:numId w:val="2"/>
        </w:numPr>
        <w:spacing w:after="60"/>
      </w:pPr>
      <w:r>
        <w:rPr>
          <w:sz w:val="21"/>
          <w:szCs w:val="21"/>
        </w:rPr>
        <w:t xml:space="preserve">Get a written CA opinion modelling both structuring options in rupee terms before committing to purchase the biscuit — with a 3.5-month gap to the draw, there is time to do this properly rather than reactively.</w:t>
      </w:r>
    </w:p>
    <w:p>
      <w:pPr>
        <w:pStyle w:val="ListParagraph"/>
        <w:numPr>
          <w:ilvl w:val="0"/>
          <w:numId w:val="2"/>
        </w:numPr>
        <w:spacing w:after="60"/>
      </w:pPr>
      <w:r>
        <w:rPr>
          <w:sz w:val="21"/>
          <w:szCs w:val="21"/>
        </w:rPr>
        <w:t xml:space="preserve">The ₹9,00,000 marketing spend is a normal deductible business-promotion expense; the gold biscuit's GST treatment is the more delicate, higher-value item to get right.</w:t>
      </w:r>
    </w:p>
    <w:p>
      <w:pPr>
        <w:pStyle w:val="Heading1"/>
        <w:pBdr>
          <w:bottom w:val="single" w:color="9C7A2E" w:sz="8" w:space="4"/>
        </w:pBdr>
        <w:spacing w:after="160" w:before="320"/>
      </w:pPr>
      <w:r>
        <w:rPr>
          <w:b/>
          <w:bCs/>
          <w:color w:val="5C1A1A"/>
          <w:sz w:val="28"/>
          <w:szCs w:val="28"/>
        </w:rPr>
        <w:t xml:space="preserve">5. E-commerce, Product &amp; Website Compliance</w:t>
      </w:r>
    </w:p>
    <w:p>
      <w:pPr>
        <w:pStyle w:val="Heading2"/>
        <w:spacing w:after="100" w:before="240"/>
      </w:pPr>
      <w:r>
        <w:rPr>
          <w:b/>
          <w:bCs/>
          <w:color w:val="9C7A2E"/>
          <w:sz w:val="23"/>
          <w:szCs w:val="23"/>
        </w:rPr>
        <w:t xml:space="preserve">5.1 Consumer Protection (E-Commerce) Rules, 2020</w:t>
      </w:r>
    </w:p>
    <w:p>
      <w:pPr>
        <w:pStyle w:val="ListParagraph"/>
        <w:numPr>
          <w:ilvl w:val="0"/>
          <w:numId w:val="2"/>
        </w:numPr>
        <w:spacing w:after="60"/>
      </w:pPr>
      <w:r>
        <w:rPr>
          <w:sz w:val="21"/>
          <w:szCs w:val="21"/>
        </w:rPr>
        <w:t xml:space="preserve">Display your legal entity name, CIN, registered address, GSTIN, and a named Grievance Officer with contact details and a stated response-time commitment — mandatory for any e-commerce entity.</w:t>
      </w:r>
    </w:p>
    <w:p>
      <w:pPr>
        <w:pStyle w:val="ListParagraph"/>
        <w:numPr>
          <w:ilvl w:val="0"/>
          <w:numId w:val="2"/>
        </w:numPr>
        <w:spacing w:after="60"/>
      </w:pPr>
      <w:r>
        <w:rPr>
          <w:sz w:val="21"/>
          <w:szCs w:val="21"/>
        </w:rPr>
        <w:t xml:space="preserve">Clear, prominent return/refund/exchange/cancellation policy, delivery timelines, and payment/security details.</w:t>
      </w:r>
    </w:p>
    <w:p>
      <w:pPr>
        <w:pStyle w:val="ListParagraph"/>
        <w:numPr>
          <w:ilvl w:val="0"/>
          <w:numId w:val="2"/>
        </w:numPr>
        <w:spacing w:after="60"/>
      </w:pPr>
      <w:r>
        <w:rPr>
          <w:sz w:val="21"/>
          <w:szCs w:val="21"/>
        </w:rPr>
        <w:t xml:space="preserve">Country of origin and full price break-up (making charges, GST) shown before checkout.</w:t>
      </w:r>
    </w:p>
    <w:p>
      <w:pPr>
        <w:pStyle w:val="Heading2"/>
        <w:spacing w:after="100" w:before="240"/>
      </w:pPr>
      <w:r>
        <w:rPr>
          <w:b/>
          <w:bCs/>
          <w:color w:val="9C7A2E"/>
          <w:sz w:val="23"/>
          <w:szCs w:val="23"/>
        </w:rPr>
        <w:t xml:space="preserve">5.2 BIS Hallmarking</w:t>
      </w:r>
    </w:p>
    <w:p>
      <w:pPr>
        <w:pStyle w:val="ListParagraph"/>
        <w:numPr>
          <w:ilvl w:val="0"/>
          <w:numId w:val="2"/>
        </w:numPr>
        <w:spacing w:after="60"/>
      </w:pPr>
      <w:r>
        <w:rPr>
          <w:sz w:val="21"/>
          <w:szCs w:val="21"/>
        </w:rPr>
        <w:t xml:space="preserve">Gold jewellery sold on shivaa.in must carry HUID hallmarking. With 200 external manufacturers' designs on the platform, confirm each manufacturer's hallmarking compliance before listing — liability for a non-hallmarked or under-carat item sold through your site sits with you as the seller of record.</w:t>
      </w:r>
    </w:p>
    <w:p>
      <w:pPr>
        <w:pStyle w:val="ListParagraph"/>
        <w:numPr>
          <w:ilvl w:val="0"/>
          <w:numId w:val="2"/>
        </w:numPr>
        <w:spacing w:after="60"/>
      </w:pPr>
      <w:r>
        <w:rPr>
          <w:sz w:val="21"/>
          <w:szCs w:val="21"/>
        </w:rPr>
        <w:t xml:space="preserve">Silver hallmarking is not yet fully mandatory nationwide, but disclose purity clearly (e.g. BIS 925) — the promotional "100g silver" minimum-purchase line should be purity-declared, not generic silver.</w:t>
      </w:r>
    </w:p>
    <w:p>
      <w:pPr>
        <w:pStyle w:val="Heading2"/>
        <w:spacing w:after="100" w:before="240"/>
      </w:pPr>
      <w:r>
        <w:rPr>
          <w:b/>
          <w:bCs/>
          <w:color w:val="9C7A2E"/>
          <w:sz w:val="23"/>
          <w:szCs w:val="23"/>
        </w:rPr>
        <w:t xml:space="preserve">5.3 Data protection — DPDP Act, 2023</w:t>
      </w:r>
    </w:p>
    <w:p>
      <w:pPr>
        <w:pStyle w:val="ListParagraph"/>
        <w:numPr>
          <w:ilvl w:val="0"/>
          <w:numId w:val="2"/>
        </w:numPr>
        <w:spacing w:after="60"/>
      </w:pPr>
      <w:r>
        <w:rPr>
          <w:sz w:val="21"/>
          <w:szCs w:val="21"/>
        </w:rPr>
        <w:t xml:space="preserve">You will collect personal data at scale: quiz answers, purchase history, PAN for TDS, delivery details, and video/photo of the live draw. Publish a clear, consent-based privacy policy compliant with the Digital Personal Data Protection Act, 2023, including retention period and a deletion-request process.</w:t>
      </w:r>
    </w:p>
    <w:p>
      <w:pPr>
        <w:pStyle w:val="Heading1"/>
        <w:pBdr>
          <w:bottom w:val="single" w:color="9C7A2E" w:sz="8" w:space="4"/>
        </w:pBdr>
        <w:spacing w:after="160" w:before="320"/>
      </w:pPr>
      <w:r>
        <w:rPr>
          <w:b/>
          <w:bCs/>
          <w:color w:val="5C1A1A"/>
          <w:sz w:val="28"/>
          <w:szCs w:val="28"/>
        </w:rPr>
        <w:t xml:space="preserve">6. IP &amp; Manufacturer Licensing (200 Bombay Manufacturers)</w:t>
      </w:r>
    </w:p>
    <w:p>
      <w:pPr>
        <w:pStyle w:val="ListParagraph"/>
        <w:numPr>
          <w:ilvl w:val="0"/>
          <w:numId w:val="2"/>
        </w:numPr>
        <w:spacing w:after="60"/>
      </w:pPr>
      <w:r>
        <w:rPr>
          <w:sz w:val="21"/>
          <w:szCs w:val="21"/>
        </w:rPr>
        <w:t xml:space="preserve">Get a written agreement with each manufacturer (or one standard-form agreement all 200 sign) covering: ownership of product images/designs, whether Shivaa buys outright, takes on consignment, or acts purely as a listing/marketplace, liability to the end customer for defects, and the GST invoicing flow (manufacturer → Shivaa → customer, or manufacturer → customer with Shivaa as facilitator) — these have materially different GST and Companies Act consequences.</w:t>
      </w:r>
    </w:p>
    <w:p>
      <w:pPr>
        <w:pStyle w:val="ListParagraph"/>
        <w:numPr>
          <w:ilvl w:val="0"/>
          <w:numId w:val="2"/>
        </w:numPr>
        <w:spacing w:after="60"/>
      </w:pPr>
      <w:r>
        <w:rPr>
          <w:sz w:val="21"/>
          <w:szCs w:val="21"/>
        </w:rPr>
        <w:t xml:space="preserve">Confirm rights to reproduce manufacturers' photographs/designs at scale (4 lakh+ SKUs) — using another business's product photos or original designs without permission can trigger a copyright/Designs Act dispute, separate from whether the jewellery itself is genuine.</w:t>
      </w:r>
    </w:p>
    <w:p>
      <w:pPr>
        <w:pStyle w:val="ListParagraph"/>
        <w:numPr>
          <w:ilvl w:val="0"/>
          <w:numId w:val="2"/>
        </w:numPr>
        <w:spacing w:after="60"/>
      </w:pPr>
      <w:r>
        <w:rPr>
          <w:sz w:val="21"/>
          <w:szCs w:val="21"/>
        </w:rPr>
        <w:t xml:space="preserve">With the campaign now running to 31 December, there is time to onboard manufacturers in structured batches rather than all at once — sequence this so the highest-demand categories (bridal, daily-wear gold, festive silver) are live and hallmark-verified before the public campaign launch, with the long tail of SKUs following through the campaign window.</w:t>
      </w:r>
    </w:p>
    <w:p>
      <w:pPr>
        <w:pStyle w:val="Heading1"/>
        <w:pBdr>
          <w:bottom w:val="single" w:color="9C7A2E" w:sz="8" w:space="4"/>
        </w:pBdr>
        <w:spacing w:after="160" w:before="320"/>
      </w:pPr>
      <w:r>
        <w:rPr>
          <w:b/>
          <w:bCs/>
          <w:color w:val="5C1A1A"/>
          <w:sz w:val="28"/>
          <w:szCs w:val="28"/>
        </w:rPr>
        <w:t xml:space="preserve">7. Consumer Court &amp; Dispute Risk</w:t>
      </w:r>
    </w:p>
    <w:p>
      <w:pPr>
        <w:pStyle w:val="ListParagraph"/>
        <w:numPr>
          <w:ilvl w:val="0"/>
          <w:numId w:val="2"/>
        </w:numPr>
        <w:spacing w:after="60"/>
      </w:pPr>
      <w:r>
        <w:rPr>
          <w:sz w:val="21"/>
          <w:szCs w:val="21"/>
        </w:rPr>
        <w:t xml:space="preserve">Publish complete, unambiguous Terms &amp; Conditions before launch: eligibility, one-entry-per-person/KYC rule, exact draw date/time/method, how the winner is verified and contacted, what happens if the winner is unreachable, tax liability (Section 3), and the free-entry alternate route.</w:t>
      </w:r>
    </w:p>
    <w:p>
      <w:pPr>
        <w:pStyle w:val="ListParagraph"/>
        <w:numPr>
          <w:ilvl w:val="0"/>
          <w:numId w:val="2"/>
        </w:numPr>
        <w:spacing w:after="60"/>
      </w:pPr>
      <w:r>
        <w:rPr>
          <w:sz w:val="21"/>
          <w:szCs w:val="21"/>
        </w:rPr>
        <w:t xml:space="preserve">Have a practising Chartered Accountant or Notary Public witness and certify the live draw process, and keep the full unedited recording — standard practice so a disappointed participant's complaint can be defended with documentary proof.</w:t>
      </w:r>
    </w:p>
    <w:p>
      <w:pPr>
        <w:pStyle w:val="ListParagraph"/>
        <w:numPr>
          <w:ilvl w:val="0"/>
          <w:numId w:val="2"/>
        </w:numPr>
        <w:spacing w:after="60"/>
      </w:pPr>
      <w:r>
        <w:rPr>
          <w:sz w:val="21"/>
          <w:szCs w:val="21"/>
        </w:rPr>
        <w:t xml:space="preserve">Under the CPA 2019, false/exaggerated prize-value claims, unclear odds, or a rigged-seeming process can be treated as unfair trade practice by the CCPA (fines up to ₹50 lakh on repeat violation), independent of any individual consumer's court case.</w:t>
      </w:r>
    </w:p>
    <w:p>
      <w:pPr>
        <w:pStyle w:val="ListParagraph"/>
        <w:numPr>
          <w:ilvl w:val="0"/>
          <w:numId w:val="2"/>
        </w:numPr>
        <w:spacing w:after="60"/>
      </w:pPr>
      <w:r>
        <w:rPr>
          <w:sz w:val="21"/>
          <w:szCs w:val="21"/>
        </w:rPr>
        <w:t xml:space="preserve">A 3.5-month campaign will generate a steadier stream of customer-service load than a 30-day one — keep the grievance/refund process visibly staffed and responsive for the full duration, not just around launch.</w:t>
      </w:r>
    </w:p>
    <w:p>
      <w:r>
        <w:br w:type="page"/>
      </w:r>
    </w:p>
    <w:p>
      <w:pPr>
        <w:pStyle w:val="Heading1"/>
        <w:pBdr>
          <w:bottom w:val="single" w:color="9C7A2E" w:sz="8" w:space="4"/>
        </w:pBdr>
        <w:spacing w:after="160" w:before="320"/>
      </w:pPr>
      <w:r>
        <w:rPr>
          <w:b/>
          <w:bCs/>
          <w:color w:val="5C1A1A"/>
          <w:sz w:val="28"/>
          <w:szCs w:val="28"/>
        </w:rPr>
        <w:t xml:space="preserve">8. Company Law / Governance Checklist</w:t>
      </w:r>
    </w:p>
    <w:p>
      <w:pPr>
        <w:pStyle w:val="ListParagraph"/>
        <w:numPr>
          <w:ilvl w:val="0"/>
          <w:numId w:val="2"/>
        </w:numPr>
        <w:spacing w:after="60"/>
      </w:pPr>
      <w:r>
        <w:rPr>
          <w:sz w:val="21"/>
          <w:szCs w:val="21"/>
        </w:rPr>
        <w:t xml:space="preserve">Board resolution authorising the marketing scheme, the prize expenditure, the ₹9,00,000 marketing budget, and the person(s) authorised to run the live draw and release the prize.</w:t>
      </w:r>
    </w:p>
    <w:p>
      <w:pPr>
        <w:pStyle w:val="ListParagraph"/>
        <w:numPr>
          <w:ilvl w:val="0"/>
          <w:numId w:val="2"/>
        </w:numPr>
        <w:spacing w:after="60"/>
      </w:pPr>
      <w:r>
        <w:rPr>
          <w:sz w:val="21"/>
          <w:szCs w:val="21"/>
        </w:rPr>
        <w:t xml:space="preserve">Written legal opinion from a consumer-protection/advertising lawyer confirming the final mechanic (after the Section 3 fixes) is compliant, dated before launch.</w:t>
      </w:r>
    </w:p>
    <w:p>
      <w:pPr>
        <w:pStyle w:val="ListParagraph"/>
        <w:numPr>
          <w:ilvl w:val="0"/>
          <w:numId w:val="2"/>
        </w:numPr>
        <w:spacing w:after="60"/>
      </w:pPr>
      <w:r>
        <w:rPr>
          <w:sz w:val="21"/>
          <w:szCs w:val="21"/>
        </w:rPr>
        <w:t xml:space="preserve">CA sign-off in writing on GST treatment of the free gold, the TDS mechanics chosen (Scenario A or B in Section 3.1), and how the marketing spend and gold cost are booked.</w:t>
      </w:r>
    </w:p>
    <w:p>
      <w:pPr>
        <w:pStyle w:val="ListParagraph"/>
        <w:numPr>
          <w:ilvl w:val="0"/>
          <w:numId w:val="2"/>
        </w:numPr>
        <w:spacing w:after="60"/>
      </w:pPr>
      <w:r>
        <w:rPr>
          <w:sz w:val="21"/>
          <w:szCs w:val="21"/>
        </w:rPr>
        <w:t xml:space="preserve">If the financer's money arrives as a loan (not equity) around the same time, document it under the Companies (Acceptance of Deposits) Rules / Section 73 of the Companies Act so it isn't treated as an unauthorised deposit.</w:t>
      </w:r>
    </w:p>
    <w:p>
      <w:pPr>
        <w:pStyle w:val="ListParagraph"/>
        <w:numPr>
          <w:ilvl w:val="0"/>
          <w:numId w:val="2"/>
        </w:numPr>
        <w:spacing w:after="60"/>
      </w:pPr>
      <w:r>
        <w:rPr>
          <w:sz w:val="21"/>
          <w:szCs w:val="21"/>
        </w:rPr>
        <w:t xml:space="preserve">Insure the gold biscuit for the full custody period — now roughly 3.5 months between likely purchase and hand-over, longer than the earlier draft, so the insurance premium and custody security arrangements should be budgeted accordingly.</w:t>
      </w:r>
    </w:p>
    <w:p>
      <w:pPr>
        <w:pStyle w:val="Heading1"/>
        <w:pBdr>
          <w:bottom w:val="single" w:color="9C7A2E" w:sz="8" w:space="4"/>
        </w:pBdr>
        <w:spacing w:after="160" w:before="320"/>
      </w:pPr>
      <w:r>
        <w:rPr>
          <w:b/>
          <w:bCs/>
          <w:color w:val="5C1A1A"/>
          <w:sz w:val="28"/>
          <w:szCs w:val="28"/>
        </w:rPr>
        <w:t xml:space="preserve">9. Complete Positives &amp; Negatives</w:t>
      </w:r>
    </w:p>
    <w:p>
      <w:pPr>
        <w:pStyle w:val="Heading2"/>
        <w:spacing w:after="100" w:before="240"/>
      </w:pPr>
      <w:r>
        <w:rPr>
          <w:b/>
          <w:bCs/>
          <w:color w:val="1E5B2E"/>
          <w:sz w:val="23"/>
          <w:szCs w:val="23"/>
        </w:rPr>
        <w:t xml:space="preserve">9.1 Legal &amp; Compliance</w:t>
      </w:r>
    </w:p>
    <w:p>
      <w:pPr>
        <w:spacing w:after="40" w:before="80"/>
      </w:pPr>
      <w:r>
        <w:rPr>
          <w:b/>
          <w:bCs/>
          <w:color w:val="1E5B2E"/>
          <w:sz w:val="20"/>
          <w:szCs w:val="20"/>
        </w:rPr>
        <w:t xml:space="preserve">Positives</w:t>
      </w:r>
    </w:p>
    <w:p>
      <w:pPr>
        <w:pStyle w:val="ListParagraph"/>
        <w:numPr>
          <w:ilvl w:val="0"/>
          <w:numId w:val="2"/>
        </w:numPr>
        <w:spacing w:after="60"/>
      </w:pPr>
      <w:r>
        <w:rPr>
          <w:sz w:val="21"/>
          <w:szCs w:val="21"/>
        </w:rPr>
        <w:t xml:space="preserve">A well-documented, lawyer-reviewed mechanic (skill contest + free entry) converts a legal liability into a defensible, industry-standard promotion.</w:t>
      </w:r>
    </w:p>
    <w:p>
      <w:pPr>
        <w:pStyle w:val="ListParagraph"/>
        <w:numPr>
          <w:ilvl w:val="0"/>
          <w:numId w:val="2"/>
        </w:numPr>
        <w:spacing w:after="60"/>
      </w:pPr>
      <w:r>
        <w:rPr>
          <w:sz w:val="21"/>
          <w:szCs w:val="21"/>
        </w:rPr>
        <w:t xml:space="preserve">The extra runway to 31 December gives real time to get every compliance document — T&amp;C, privacy policy, grievance process, manufacturer agreements — right rather than rushed.</w:t>
      </w:r>
    </w:p>
    <w:p>
      <w:pPr>
        <w:spacing w:after="40" w:before="80"/>
      </w:pPr>
      <w:r>
        <w:rPr>
          <w:b/>
          <w:bCs/>
          <w:color w:val="8A1F1F"/>
          <w:sz w:val="20"/>
          <w:szCs w:val="20"/>
        </w:rPr>
        <w:t xml:space="preserve">Negatives</w:t>
      </w:r>
    </w:p>
    <w:p>
      <w:pPr>
        <w:pStyle w:val="ListParagraph"/>
        <w:numPr>
          <w:ilvl w:val="0"/>
          <w:numId w:val="2"/>
        </w:numPr>
        <w:spacing w:after="60"/>
      </w:pPr>
      <w:r>
        <w:rPr>
          <w:sz w:val="21"/>
          <w:szCs w:val="21"/>
        </w:rPr>
        <w:t xml:space="preserve">The current mechanic, unfixed, is a criminal-law and unfair-trade-practice exposure, not just a fine.</w:t>
      </w:r>
    </w:p>
    <w:p>
      <w:pPr>
        <w:pStyle w:val="ListParagraph"/>
        <w:numPr>
          <w:ilvl w:val="0"/>
          <w:numId w:val="2"/>
        </w:numPr>
        <w:spacing w:after="60"/>
      </w:pPr>
      <w:r>
        <w:rPr>
          <w:sz w:val="21"/>
          <w:szCs w:val="21"/>
        </w:rPr>
        <w:t xml:space="preserve">A longer, higher-visibility campaign has a longer window in which an ad-wording slip or a mishandled complaint can be flagged.</w:t>
      </w:r>
    </w:p>
    <w:p>
      <w:pPr>
        <w:pStyle w:val="ListParagraph"/>
        <w:numPr>
          <w:ilvl w:val="0"/>
          <w:numId w:val="2"/>
        </w:numPr>
        <w:spacing w:after="60"/>
      </w:pPr>
      <w:r>
        <w:rPr>
          <w:sz w:val="21"/>
          <w:szCs w:val="21"/>
        </w:rPr>
        <w:t xml:space="preserve">Pan-India shipping exposes the scheme to the strictest state-level prize-scheme law that applies to any entrant, not just Rajasthan's.</w:t>
      </w:r>
    </w:p>
    <w:p>
      <w:pPr>
        <w:pStyle w:val="Heading2"/>
        <w:spacing w:after="100" w:before="240"/>
      </w:pPr>
      <w:r>
        <w:rPr>
          <w:b/>
          <w:bCs/>
          <w:color w:val="1E5B2E"/>
          <w:sz w:val="23"/>
          <w:szCs w:val="23"/>
        </w:rPr>
        <w:t xml:space="preserve">9.2 Financial</w:t>
      </w:r>
    </w:p>
    <w:p>
      <w:pPr>
        <w:spacing w:after="40" w:before="80"/>
      </w:pPr>
      <w:r>
        <w:rPr>
          <w:b/>
          <w:bCs/>
          <w:color w:val="1E5B2E"/>
          <w:sz w:val="20"/>
          <w:szCs w:val="20"/>
        </w:rPr>
        <w:t xml:space="preserve">Positives</w:t>
      </w:r>
    </w:p>
    <w:p>
      <w:pPr>
        <w:pStyle w:val="ListParagraph"/>
        <w:numPr>
          <w:ilvl w:val="0"/>
          <w:numId w:val="2"/>
        </w:numPr>
        <w:spacing w:after="60"/>
      </w:pPr>
      <w:r>
        <w:rPr>
          <w:sz w:val="21"/>
          <w:szCs w:val="21"/>
        </w:rPr>
        <w:t xml:space="preserve">A single flagship prize is a capital-efficient way to generate reach compared to sustained discounting across the whole catalog.</w:t>
      </w:r>
    </w:p>
    <w:p>
      <w:pPr>
        <w:pStyle w:val="ListParagraph"/>
        <w:numPr>
          <w:ilvl w:val="0"/>
          <w:numId w:val="2"/>
        </w:numPr>
        <w:spacing w:after="60"/>
      </w:pPr>
      <w:r>
        <w:rPr>
          <w:sz w:val="21"/>
          <w:szCs w:val="21"/>
        </w:rPr>
        <w:t xml:space="preserve">The larger ₹9,00,000 budget over 3 months allows proper phased spending (teaser → peak → retargeting) instead of front-loading everything into a rushed window.</w:t>
      </w:r>
    </w:p>
    <w:p>
      <w:pPr>
        <w:pStyle w:val="ListParagraph"/>
        <w:numPr>
          <w:ilvl w:val="0"/>
          <w:numId w:val="2"/>
        </w:numPr>
        <w:spacing w:after="60"/>
      </w:pPr>
      <w:r>
        <w:rPr>
          <w:sz w:val="21"/>
          <w:szCs w:val="21"/>
        </w:rPr>
        <w:t xml:space="preserve">New customer acquisition and catalog-browsing traffic from the campaign has value to shivaa.in beyond the single winner.</w:t>
      </w:r>
    </w:p>
    <w:p>
      <w:pPr>
        <w:spacing w:after="40" w:before="80"/>
      </w:pPr>
      <w:r>
        <w:rPr>
          <w:b/>
          <w:bCs/>
          <w:color w:val="8A1F1F"/>
          <w:sz w:val="20"/>
          <w:szCs w:val="20"/>
        </w:rPr>
        <w:t xml:space="preserve">Negatives</w:t>
      </w:r>
    </w:p>
    <w:p>
      <w:pPr>
        <w:pStyle w:val="ListParagraph"/>
        <w:numPr>
          <w:ilvl w:val="0"/>
          <w:numId w:val="2"/>
        </w:numPr>
        <w:spacing w:after="60"/>
      </w:pPr>
      <w:r>
        <w:rPr>
          <w:sz w:val="21"/>
          <w:szCs w:val="21"/>
        </w:rPr>
        <w:t xml:space="preserve">Total campaign cost (Section 16) is materially higher than the headline ₹15 lakh + ₹9 lakh once TDS/tax, legal, CA, insurance, and manufacturer-onboarding costs are included.</w:t>
      </w:r>
    </w:p>
    <w:p>
      <w:pPr>
        <w:pStyle w:val="ListParagraph"/>
        <w:numPr>
          <w:ilvl w:val="0"/>
          <w:numId w:val="2"/>
        </w:numPr>
        <w:spacing w:after="60"/>
      </w:pPr>
      <w:r>
        <w:rPr>
          <w:sz w:val="21"/>
          <w:szCs w:val="21"/>
        </w:rPr>
        <w:t xml:space="preserve">Gold price movement between now and 31 December is a real variable — the biscuit could cost more than ₹15 lakh to buy by year-end, and this should be budgeted as a range, not a fixed number.</w:t>
      </w:r>
    </w:p>
    <w:p>
      <w:pPr>
        <w:pStyle w:val="ListParagraph"/>
        <w:numPr>
          <w:ilvl w:val="0"/>
          <w:numId w:val="2"/>
        </w:numPr>
        <w:spacing w:after="60"/>
      </w:pPr>
      <w:r>
        <w:rPr>
          <w:sz w:val="21"/>
          <w:szCs w:val="21"/>
        </w:rPr>
        <w:t xml:space="preserve">If Scenario B (company bears the tax) is chosen, the effective giveaway cost rises by roughly ₹6.4 lakh.</w:t>
      </w:r>
    </w:p>
    <w:p>
      <w:pPr>
        <w:pStyle w:val="Heading2"/>
        <w:spacing w:after="100" w:before="240"/>
      </w:pPr>
      <w:r>
        <w:rPr>
          <w:b/>
          <w:bCs/>
          <w:color w:val="1E5B2E"/>
          <w:sz w:val="23"/>
          <w:szCs w:val="23"/>
        </w:rPr>
        <w:t xml:space="preserve">9.3 Brand &amp; Marketing</w:t>
      </w:r>
    </w:p>
    <w:p>
      <w:pPr>
        <w:spacing w:after="40" w:before="80"/>
      </w:pPr>
      <w:r>
        <w:rPr>
          <w:b/>
          <w:bCs/>
          <w:color w:val="1E5B2E"/>
          <w:sz w:val="20"/>
          <w:szCs w:val="20"/>
        </w:rPr>
        <w:t xml:space="preserve">Positives</w:t>
      </w:r>
    </w:p>
    <w:p>
      <w:pPr>
        <w:pStyle w:val="ListParagraph"/>
        <w:numPr>
          <w:ilvl w:val="0"/>
          <w:numId w:val="2"/>
        </w:numPr>
        <w:spacing w:after="60"/>
      </w:pPr>
      <w:r>
        <w:rPr>
          <w:sz w:val="21"/>
          <w:szCs w:val="21"/>
        </w:rPr>
        <w:t xml:space="preserve">Timed through the festive season into the new year, the campaign spans multiple gifting/buying occasions, not just one festival, widening the pool of relevant buyers.</w:t>
      </w:r>
    </w:p>
    <w:p>
      <w:pPr>
        <w:pStyle w:val="ListParagraph"/>
        <w:numPr>
          <w:ilvl w:val="0"/>
          <w:numId w:val="2"/>
        </w:numPr>
        <w:spacing w:after="60"/>
      </w:pPr>
      <w:r>
        <w:rPr>
          <w:sz w:val="21"/>
          <w:szCs w:val="21"/>
        </w:rPr>
        <w:t xml:space="preserve">The 200-manufacturer, 4-lakh-design catalog combined with the Gemini recommendation chatbot gives customers a genuine reason to return to shivaa.in beyond the giveaway.</w:t>
      </w:r>
    </w:p>
    <w:p>
      <w:pPr>
        <w:pStyle w:val="ListParagraph"/>
        <w:numPr>
          <w:ilvl w:val="0"/>
          <w:numId w:val="2"/>
        </w:numPr>
        <w:spacing w:after="60"/>
      </w:pPr>
      <w:r>
        <w:rPr>
          <w:sz w:val="21"/>
          <w:szCs w:val="21"/>
        </w:rPr>
        <w:t xml:space="preserve">A transparent, well-run live draw (CA/notary witnessed) can itself become a trust-building content moment for a brand-new website.</w:t>
      </w:r>
    </w:p>
    <w:p>
      <w:pPr>
        <w:spacing w:after="40" w:before="80"/>
      </w:pPr>
      <w:r>
        <w:rPr>
          <w:b/>
          <w:bCs/>
          <w:color w:val="8A1F1F"/>
          <w:sz w:val="20"/>
          <w:szCs w:val="20"/>
        </w:rPr>
        <w:t xml:space="preserve">Negatives</w:t>
      </w:r>
    </w:p>
    <w:p>
      <w:pPr>
        <w:pStyle w:val="ListParagraph"/>
        <w:numPr>
          <w:ilvl w:val="0"/>
          <w:numId w:val="2"/>
        </w:numPr>
        <w:spacing w:after="60"/>
      </w:pPr>
      <w:r>
        <w:rPr>
          <w:sz w:val="21"/>
          <w:szCs w:val="21"/>
        </w:rPr>
        <w:t xml:space="preserve">A live-streamed draw is unforgiving — any perception of unfairness, technical hiccup, or unreachable "winner" plays out publicly, and in a trust-sensitive category like gold this can do more brand damage than the campaign's upside.</w:t>
      </w:r>
    </w:p>
    <w:p>
      <w:pPr>
        <w:pStyle w:val="ListParagraph"/>
        <w:numPr>
          <w:ilvl w:val="0"/>
          <w:numId w:val="2"/>
        </w:numPr>
        <w:spacing w:after="60"/>
      </w:pPr>
      <w:r>
        <w:rPr>
          <w:sz w:val="21"/>
          <w:szCs w:val="21"/>
        </w:rPr>
        <w:t xml:space="preserve">Only one winner nets the prize from potentially thousands of qualifying purchasers; if the odds aren't communicated clearly, this is exactly the kind of "false sense of opportunity" the CCPA guidelines are designed to catch.</w:t>
      </w:r>
    </w:p>
    <w:p>
      <w:pPr>
        <w:pStyle w:val="Heading2"/>
        <w:spacing w:after="100" w:before="240"/>
      </w:pPr>
      <w:r>
        <w:rPr>
          <w:b/>
          <w:bCs/>
          <w:color w:val="1E5B2E"/>
          <w:sz w:val="23"/>
          <w:szCs w:val="23"/>
        </w:rPr>
        <w:t xml:space="preserve">9.4 Operational / Execution</w:t>
      </w:r>
    </w:p>
    <w:p>
      <w:pPr>
        <w:spacing w:after="40" w:before="80"/>
      </w:pPr>
      <w:r>
        <w:rPr>
          <w:b/>
          <w:bCs/>
          <w:color w:val="1E5B2E"/>
          <w:sz w:val="20"/>
          <w:szCs w:val="20"/>
        </w:rPr>
        <w:t xml:space="preserve">Positives</w:t>
      </w:r>
    </w:p>
    <w:p>
      <w:pPr>
        <w:pStyle w:val="ListParagraph"/>
        <w:numPr>
          <w:ilvl w:val="0"/>
          <w:numId w:val="2"/>
        </w:numPr>
        <w:spacing w:after="60"/>
      </w:pPr>
      <w:r>
        <w:rPr>
          <w:sz w:val="21"/>
          <w:szCs w:val="21"/>
        </w:rPr>
        <w:t xml:space="preserve">15.5 weeks is enough time to sequence legal fixes, then website/catalog build, then a phased marketing launch — rather than doing all three simultaneously under pressure.</w:t>
      </w:r>
    </w:p>
    <w:p>
      <w:pPr>
        <w:pStyle w:val="ListParagraph"/>
        <w:numPr>
          <w:ilvl w:val="0"/>
          <w:numId w:val="2"/>
        </w:numPr>
        <w:spacing w:after="60"/>
      </w:pPr>
      <w:r>
        <w:rPr>
          <w:sz w:val="21"/>
          <w:szCs w:val="21"/>
        </w:rPr>
        <w:t xml:space="preserve">Manufacturer onboarding can happen in structured batches instead of a single risky bulk integration.</w:t>
      </w:r>
    </w:p>
    <w:p>
      <w:pPr>
        <w:spacing w:after="40" w:before="80"/>
      </w:pPr>
      <w:r>
        <w:rPr>
          <w:b/>
          <w:bCs/>
          <w:color w:val="8A1F1F"/>
          <w:sz w:val="20"/>
          <w:szCs w:val="20"/>
        </w:rPr>
        <w:t xml:space="preserve">Negatives</w:t>
      </w:r>
    </w:p>
    <w:p>
      <w:pPr>
        <w:pStyle w:val="ListParagraph"/>
        <w:numPr>
          <w:ilvl w:val="0"/>
          <w:numId w:val="2"/>
        </w:numPr>
        <w:spacing w:after="60"/>
      </w:pPr>
      <w:r>
        <w:rPr>
          <w:sz w:val="21"/>
          <w:szCs w:val="21"/>
        </w:rPr>
        <w:t xml:space="preserve">Integrating 200 manufacturers' catalogs (4 lakh+ SKUs), a working chatbot, and full e-commerce compliance is still a large build even with more time — scope creep or delay in any one stream can compress the marketing window that follows it.</w:t>
      </w:r>
    </w:p>
    <w:p>
      <w:pPr>
        <w:pStyle w:val="ListParagraph"/>
        <w:numPr>
          <w:ilvl w:val="0"/>
          <w:numId w:val="2"/>
        </w:numPr>
        <w:spacing w:after="60"/>
      </w:pPr>
      <w:r>
        <w:rPr>
          <w:sz w:val="21"/>
          <w:szCs w:val="21"/>
        </w:rPr>
        <w:t xml:space="preserve">A longer campaign means a longer period of elevated customer-support and fulfilment load on a website and team that are simultaneously still being built out.</w:t>
      </w:r>
    </w:p>
    <w:p>
      <w:pPr>
        <w:pStyle w:val="Heading1"/>
        <w:pBdr>
          <w:bottom w:val="single" w:color="9C7A2E" w:sz="8" w:space="4"/>
        </w:pBdr>
        <w:spacing w:after="160" w:before="320"/>
      </w:pPr>
      <w:r>
        <w:rPr>
          <w:b/>
          <w:bCs/>
          <w:color w:val="5C1A1A"/>
          <w:sz w:val="28"/>
          <w:szCs w:val="28"/>
        </w:rPr>
        <w:t xml:space="preserve">10. Doing This vs. Not Doing This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300"/>
      </w:tblGrid>
      <w:tr>
        <w:tc>
          <w:tcPr>
            <w:tcW w:type="dxa" w:w="1500"/>
            <w:shd w:fill="5C1A1A" w:val="clear"/>
            <w:tcMar>
              <w:top w:type="dxa" w:w="80"/>
              <w:left w:type="dxa" w:w="100"/>
              <w:bottom w:type="dxa" w:w="80"/>
              <w:right w:type="dxa" w:w="100"/>
            </w:tcMar>
          </w:tcPr>
          <w:p>
            <w:r>
              <w:rPr>
                <w:b/>
                <w:bCs/>
                <w:color w:val="FFFFFF"/>
                <w:sz w:val="18"/>
                <w:szCs w:val="18"/>
              </w:rPr>
              <w:t xml:space="preserve"/>
            </w:r>
          </w:p>
        </w:tc>
        <w:tc>
          <w:tcPr>
            <w:tcW w:type="dxa" w:w="4700"/>
            <w:shd w:fill="5C1A1A" w:val="clear"/>
            <w:tcMar>
              <w:top w:type="dxa" w:w="80"/>
              <w:left w:type="dxa" w:w="100"/>
              <w:bottom w:type="dxa" w:w="80"/>
              <w:right w:type="dxa" w:w="100"/>
            </w:tcMar>
          </w:tcPr>
          <w:p>
            <w:r>
              <w:rPr>
                <w:b/>
                <w:bCs/>
                <w:color w:val="FFFFFF"/>
                <w:sz w:val="18"/>
                <w:szCs w:val="18"/>
              </w:rPr>
              <w:t xml:space="preserve">Run the campaign (compliant version)</w:t>
            </w:r>
          </w:p>
        </w:tc>
        <w:tc>
          <w:tcPr>
            <w:tcW w:type="dxa" w:w="3300"/>
            <w:shd w:fill="5C1A1A" w:val="clear"/>
            <w:tcMar>
              <w:top w:type="dxa" w:w="80"/>
              <w:left w:type="dxa" w:w="100"/>
              <w:bottom w:type="dxa" w:w="80"/>
              <w:right w:type="dxa" w:w="100"/>
            </w:tcMar>
          </w:tcPr>
          <w:p>
            <w:r>
              <w:rPr>
                <w:b/>
                <w:bCs/>
                <w:color w:val="FFFFFF"/>
                <w:sz w:val="18"/>
                <w:szCs w:val="18"/>
              </w:rPr>
              <w:t xml:space="preserve">Don't run it</w:t>
            </w:r>
          </w:p>
        </w:tc>
      </w:tr>
      <w:tr>
        <w:tc>
          <w:tcPr>
            <w:tcW w:type="dxa" w:w="1500"/>
            <w:tcMar>
              <w:top w:type="dxa" w:w="80"/>
              <w:left w:type="dxa" w:w="100"/>
              <w:bottom w:type="dxa" w:w="80"/>
              <w:right w:type="dxa" w:w="100"/>
            </w:tcMar>
          </w:tcPr>
          <w:p>
            <w:r>
              <w:rPr>
                <w:b w:val="false"/>
                <w:bCs w:val="false"/>
                <w:color w:val="000000"/>
                <w:sz w:val="18"/>
                <w:szCs w:val="18"/>
              </w:rPr>
              <w:t xml:space="preserve">Upside</w:t>
            </w:r>
          </w:p>
        </w:tc>
        <w:tc>
          <w:tcPr>
            <w:tcW w:type="dxa" w:w="4700"/>
            <w:tcMar>
              <w:top w:type="dxa" w:w="80"/>
              <w:left w:type="dxa" w:w="100"/>
              <w:bottom w:type="dxa" w:w="80"/>
              <w:right w:type="dxa" w:w="100"/>
            </w:tcMar>
          </w:tcPr>
          <w:p>
            <w:r>
              <w:rPr>
                <w:b w:val="false"/>
                <w:bCs w:val="false"/>
                <w:color w:val="000000"/>
                <w:sz w:val="18"/>
                <w:szCs w:val="18"/>
              </w:rPr>
              <w:t xml:space="preserve">Strong multi-month reach across festive season into New Year, new customer acquisition, catalog-discovery traffic, PR/social buzz for shivaa.in's launch, more budget to work with (₹9L) for a properly phased rollout</w:t>
            </w:r>
          </w:p>
        </w:tc>
        <w:tc>
          <w:tcPr>
            <w:tcW w:type="dxa" w:w="3300"/>
            <w:tcMar>
              <w:top w:type="dxa" w:w="80"/>
              <w:left w:type="dxa" w:w="100"/>
              <w:bottom w:type="dxa" w:w="80"/>
              <w:right w:type="dxa" w:w="100"/>
            </w:tcMar>
          </w:tcPr>
          <w:p>
            <w:r>
              <w:rPr>
                <w:b w:val="false"/>
                <w:bCs w:val="false"/>
                <w:color w:val="000000"/>
                <w:sz w:val="18"/>
                <w:szCs w:val="18"/>
              </w:rPr>
              <w:t xml:space="preserve">No legal/tax/reputational exposure; funds redirected to inventory, hallmarking, or a smaller, lower-risk promotion</w:t>
            </w:r>
          </w:p>
        </w:tc>
      </w:tr>
      <w:tr>
        <w:tc>
          <w:tcPr>
            <w:tcW w:type="dxa" w:w="1500"/>
            <w:tcMar>
              <w:top w:type="dxa" w:w="80"/>
              <w:left w:type="dxa" w:w="100"/>
              <w:bottom w:type="dxa" w:w="80"/>
              <w:right w:type="dxa" w:w="100"/>
            </w:tcMar>
          </w:tcPr>
          <w:p>
            <w:r>
              <w:rPr>
                <w:b w:val="false"/>
                <w:bCs w:val="false"/>
                <w:color w:val="000000"/>
                <w:sz w:val="18"/>
                <w:szCs w:val="18"/>
              </w:rPr>
              <w:t xml:space="preserve">Cost</w:t>
            </w:r>
          </w:p>
        </w:tc>
        <w:tc>
          <w:tcPr>
            <w:tcW w:type="dxa" w:w="4700"/>
            <w:tcMar>
              <w:top w:type="dxa" w:w="80"/>
              <w:left w:type="dxa" w:w="100"/>
              <w:bottom w:type="dxa" w:w="80"/>
              <w:right w:type="dxa" w:w="100"/>
            </w:tcMar>
          </w:tcPr>
          <w:p>
            <w:r>
              <w:rPr>
                <w:b w:val="false"/>
                <w:bCs w:val="false"/>
                <w:color w:val="000000"/>
                <w:sz w:val="18"/>
                <w:szCs w:val="18"/>
              </w:rPr>
              <w:t xml:space="preserve">Gold (~₹15L, possibly more by Dec) + ₹9L ads + legal/CA/insurance/manufacturer-onboarding costs + tax cost on the prize</w:t>
            </w:r>
          </w:p>
        </w:tc>
        <w:tc>
          <w:tcPr>
            <w:tcW w:type="dxa" w:w="3300"/>
            <w:tcMar>
              <w:top w:type="dxa" w:w="80"/>
              <w:left w:type="dxa" w:w="100"/>
              <w:bottom w:type="dxa" w:w="80"/>
              <w:right w:type="dxa" w:w="100"/>
            </w:tcMar>
          </w:tcPr>
          <w:p>
            <w:r>
              <w:rPr>
                <w:b w:val="false"/>
                <w:bCs w:val="false"/>
                <w:color w:val="000000"/>
                <w:sz w:val="18"/>
                <w:szCs w:val="18"/>
              </w:rPr>
              <w:t xml:space="preserve">Opportunity cost — a 3.5-month acquisition window passes without a flagship campaign</w:t>
            </w:r>
          </w:p>
        </w:tc>
      </w:tr>
      <w:tr>
        <w:tc>
          <w:tcPr>
            <w:tcW w:type="dxa" w:w="1500"/>
            <w:tcMar>
              <w:top w:type="dxa" w:w="80"/>
              <w:left w:type="dxa" w:w="100"/>
              <w:bottom w:type="dxa" w:w="80"/>
              <w:right w:type="dxa" w:w="100"/>
            </w:tcMar>
          </w:tcPr>
          <w:p>
            <w:r>
              <w:rPr>
                <w:b w:val="false"/>
                <w:bCs w:val="false"/>
                <w:color w:val="000000"/>
                <w:sz w:val="18"/>
                <w:szCs w:val="18"/>
              </w:rPr>
              <w:t xml:space="preserve">Risk</w:t>
            </w:r>
          </w:p>
        </w:tc>
        <w:tc>
          <w:tcPr>
            <w:tcW w:type="dxa" w:w="4700"/>
            <w:tcMar>
              <w:top w:type="dxa" w:w="80"/>
              <w:left w:type="dxa" w:w="100"/>
              <w:bottom w:type="dxa" w:w="80"/>
              <w:right w:type="dxa" w:w="100"/>
            </w:tcMar>
          </w:tcPr>
          <w:p>
            <w:r>
              <w:rPr>
                <w:b w:val="false"/>
                <w:bCs w:val="false"/>
                <w:color w:val="000000"/>
                <w:sz w:val="18"/>
                <w:szCs w:val="18"/>
              </w:rPr>
              <w:t xml:space="preserve">Lottery-law exposure if not restructured; CCPA/advertising risk; sustained consumer-complaint exposure over 3.5 months; execution risk across legal, website, and marketing streams</w:t>
            </w:r>
          </w:p>
        </w:tc>
        <w:tc>
          <w:tcPr>
            <w:tcW w:type="dxa" w:w="3300"/>
            <w:tcMar>
              <w:top w:type="dxa" w:w="80"/>
              <w:left w:type="dxa" w:w="100"/>
              <w:bottom w:type="dxa" w:w="80"/>
              <w:right w:type="dxa" w:w="100"/>
            </w:tcMar>
          </w:tcPr>
          <w:p>
            <w:r>
              <w:rPr>
                <w:b w:val="false"/>
                <w:bCs w:val="false"/>
                <w:color w:val="000000"/>
                <w:sz w:val="18"/>
                <w:szCs w:val="18"/>
              </w:rPr>
              <w:t xml:space="preserve">Slower organic growth of shivaa.in during its launch period</w:t>
            </w:r>
          </w:p>
        </w:tc>
      </w:tr>
      <w:tr>
        <w:tc>
          <w:tcPr>
            <w:tcW w:type="dxa" w:w="1500"/>
            <w:tcMar>
              <w:top w:type="dxa" w:w="80"/>
              <w:left w:type="dxa" w:w="100"/>
              <w:bottom w:type="dxa" w:w="80"/>
              <w:right w:type="dxa" w:w="100"/>
            </w:tcMar>
          </w:tcPr>
          <w:p>
            <w:r>
              <w:rPr>
                <w:b w:val="false"/>
                <w:bCs w:val="false"/>
                <w:color w:val="000000"/>
                <w:sz w:val="18"/>
                <w:szCs w:val="18"/>
              </w:rPr>
              <w:t xml:space="preserve">Financer's likely read</w:t>
            </w:r>
          </w:p>
        </w:tc>
        <w:tc>
          <w:tcPr>
            <w:tcW w:type="dxa" w:w="4700"/>
            <w:tcMar>
              <w:top w:type="dxa" w:w="80"/>
              <w:left w:type="dxa" w:w="100"/>
              <w:bottom w:type="dxa" w:w="80"/>
              <w:right w:type="dxa" w:w="100"/>
            </w:tcMar>
          </w:tcPr>
          <w:p>
            <w:r>
              <w:rPr>
                <w:b w:val="false"/>
                <w:bCs w:val="false"/>
                <w:color w:val="000000"/>
                <w:sz w:val="18"/>
                <w:szCs w:val="18"/>
              </w:rPr>
              <w:t xml:space="preserve">Will want the legal opinion, CA sign-off, and this financial plan in hand before releasing funds — the longer runway makes that easier to deliver credibly</w:t>
            </w:r>
          </w:p>
        </w:tc>
        <w:tc>
          <w:tcPr>
            <w:tcW w:type="dxa" w:w="3300"/>
            <w:tcMar>
              <w:top w:type="dxa" w:w="80"/>
              <w:left w:type="dxa" w:w="100"/>
              <w:bottom w:type="dxa" w:w="80"/>
              <w:right w:type="dxa" w:w="100"/>
            </w:tcMar>
          </w:tcPr>
          <w:p>
            <w:r>
              <w:rPr>
                <w:b w:val="false"/>
                <w:bCs w:val="false"/>
                <w:color w:val="000000"/>
                <w:sz w:val="18"/>
                <w:szCs w:val="18"/>
              </w:rPr>
              <w:t xml:space="preserve">Safer, but may not give the financer the growth story they are evaluating the investment on</w:t>
            </w:r>
          </w:p>
        </w:tc>
      </w:tr>
    </w:tbl>
    <w:p>
      <w:r>
        <w:br w:type="page"/>
      </w:r>
    </w:p>
    <w:p>
      <w:pPr>
        <w:pStyle w:val="Heading1"/>
        <w:pBdr>
          <w:bottom w:val="single" w:color="9C7A2E" w:sz="8" w:space="4"/>
        </w:pBdr>
        <w:spacing w:after="160" w:before="320"/>
      </w:pPr>
      <w:r>
        <w:rPr>
          <w:b/>
          <w:bCs/>
          <w:color w:val="5C1A1A"/>
          <w:sz w:val="28"/>
          <w:szCs w:val="28"/>
        </w:rPr>
        <w:t xml:space="preserve">11. Risk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2300"/>
        <w:gridCol w:w="3300"/>
      </w:tblGrid>
      <w:tr>
        <w:tc>
          <w:tcPr>
            <w:tcW w:type="dxa" w:w="2300"/>
            <w:shd w:fill="5C1A1A" w:val="clear"/>
            <w:tcMar>
              <w:top w:type="dxa" w:w="80"/>
              <w:left w:type="dxa" w:w="100"/>
              <w:bottom w:type="dxa" w:w="80"/>
              <w:right w:type="dxa" w:w="100"/>
            </w:tcMar>
          </w:tcPr>
          <w:p>
            <w:r>
              <w:rPr>
                <w:b/>
                <w:bCs/>
                <w:color w:val="FFFFFF"/>
                <w:sz w:val="18"/>
                <w:szCs w:val="18"/>
              </w:rPr>
              <w:t xml:space="preserve">Risk</w:t>
            </w:r>
          </w:p>
        </w:tc>
        <w:tc>
          <w:tcPr>
            <w:tcW w:type="dxa" w:w="1600"/>
            <w:shd w:fill="5C1A1A" w:val="clear"/>
            <w:tcMar>
              <w:top w:type="dxa" w:w="80"/>
              <w:left w:type="dxa" w:w="100"/>
              <w:bottom w:type="dxa" w:w="80"/>
              <w:right w:type="dxa" w:w="100"/>
            </w:tcMar>
          </w:tcPr>
          <w:p>
            <w:r>
              <w:rPr>
                <w:b/>
                <w:bCs/>
                <w:color w:val="FFFFFF"/>
                <w:sz w:val="18"/>
                <w:szCs w:val="18"/>
              </w:rPr>
              <w:t xml:space="preserve">Likelihood</w:t>
            </w:r>
          </w:p>
        </w:tc>
        <w:tc>
          <w:tcPr>
            <w:tcW w:type="dxa" w:w="2300"/>
            <w:shd w:fill="5C1A1A" w:val="clear"/>
            <w:tcMar>
              <w:top w:type="dxa" w:w="80"/>
              <w:left w:type="dxa" w:w="100"/>
              <w:bottom w:type="dxa" w:w="80"/>
              <w:right w:type="dxa" w:w="100"/>
            </w:tcMar>
          </w:tcPr>
          <w:p>
            <w:r>
              <w:rPr>
                <w:b/>
                <w:bCs/>
                <w:color w:val="FFFFFF"/>
                <w:sz w:val="18"/>
                <w:szCs w:val="18"/>
              </w:rPr>
              <w:t xml:space="preserve">Impact</w:t>
            </w:r>
          </w:p>
        </w:tc>
        <w:tc>
          <w:tcPr>
            <w:tcW w:type="dxa" w:w="3300"/>
            <w:shd w:fill="5C1A1A" w:val="clear"/>
            <w:tcMar>
              <w:top w:type="dxa" w:w="80"/>
              <w:left w:type="dxa" w:w="100"/>
              <w:bottom w:type="dxa" w:w="80"/>
              <w:right w:type="dxa" w:w="100"/>
            </w:tcMar>
          </w:tcPr>
          <w:p>
            <w:r>
              <w:rPr>
                <w:b/>
                <w:bCs/>
                <w:color w:val="FFFFFF"/>
                <w:sz w:val="18"/>
                <w:szCs w:val="18"/>
              </w:rPr>
              <w:t xml:space="preserve">Mitigation</w:t>
            </w:r>
          </w:p>
        </w:tc>
      </w:tr>
      <w:tr>
        <w:tc>
          <w:tcPr>
            <w:tcW w:type="dxa" w:w="2300"/>
            <w:tcMar>
              <w:top w:type="dxa" w:w="80"/>
              <w:left w:type="dxa" w:w="100"/>
              <w:bottom w:type="dxa" w:w="80"/>
              <w:right w:type="dxa" w:w="100"/>
            </w:tcMar>
          </w:tcPr>
          <w:p>
            <w:r>
              <w:rPr>
                <w:b w:val="false"/>
                <w:bCs w:val="false"/>
                <w:color w:val="000000"/>
                <w:sz w:val="18"/>
                <w:szCs w:val="18"/>
              </w:rPr>
              <w:t xml:space="preserve">Scheme classified as illegal lottery</w:t>
            </w:r>
          </w:p>
        </w:tc>
        <w:tc>
          <w:tcPr>
            <w:tcW w:type="dxa" w:w="1600"/>
            <w:tcMar>
              <w:top w:type="dxa" w:w="80"/>
              <w:left w:type="dxa" w:w="100"/>
              <w:bottom w:type="dxa" w:w="80"/>
              <w:right w:type="dxa" w:w="100"/>
            </w:tcMar>
          </w:tcPr>
          <w:p>
            <w:r>
              <w:rPr>
                <w:b w:val="false"/>
                <w:bCs w:val="false"/>
                <w:color w:val="000000"/>
                <w:sz w:val="18"/>
                <w:szCs w:val="18"/>
              </w:rPr>
              <w:t xml:space="preserve">Medium (if unfixed)</w:t>
            </w:r>
          </w:p>
        </w:tc>
        <w:tc>
          <w:tcPr>
            <w:tcW w:type="dxa" w:w="2300"/>
            <w:tcMar>
              <w:top w:type="dxa" w:w="80"/>
              <w:left w:type="dxa" w:w="100"/>
              <w:bottom w:type="dxa" w:w="80"/>
              <w:right w:type="dxa" w:w="100"/>
            </w:tcMar>
          </w:tcPr>
          <w:p>
            <w:r>
              <w:rPr>
                <w:b w:val="false"/>
                <w:bCs w:val="false"/>
                <w:color w:val="000000"/>
                <w:sz w:val="18"/>
                <w:szCs w:val="18"/>
              </w:rPr>
              <w:t xml:space="preserve">Severe — criminal provisions, forced shutdown, reputational damage</w:t>
            </w:r>
          </w:p>
        </w:tc>
        <w:tc>
          <w:tcPr>
            <w:tcW w:type="dxa" w:w="3300"/>
            <w:tcMar>
              <w:top w:type="dxa" w:w="80"/>
              <w:left w:type="dxa" w:w="100"/>
              <w:bottom w:type="dxa" w:w="80"/>
              <w:right w:type="dxa" w:w="100"/>
            </w:tcMar>
          </w:tcPr>
          <w:p>
            <w:r>
              <w:rPr>
                <w:b w:val="false"/>
                <w:bCs w:val="false"/>
                <w:color w:val="000000"/>
                <w:sz w:val="18"/>
                <w:szCs w:val="18"/>
              </w:rPr>
              <w:t xml:space="preserve">Skill-based judging + free no-purchase entry route + lawyer sign-off before launch (Section 2–3)</w:t>
            </w:r>
          </w:p>
        </w:tc>
      </w:tr>
      <w:tr>
        <w:tc>
          <w:tcPr>
            <w:tcW w:type="dxa" w:w="2300"/>
            <w:tcMar>
              <w:top w:type="dxa" w:w="80"/>
              <w:left w:type="dxa" w:w="100"/>
              <w:bottom w:type="dxa" w:w="80"/>
              <w:right w:type="dxa" w:w="100"/>
            </w:tcMar>
          </w:tcPr>
          <w:p>
            <w:r>
              <w:rPr>
                <w:b w:val="false"/>
                <w:bCs w:val="false"/>
                <w:color w:val="000000"/>
                <w:sz w:val="18"/>
                <w:szCs w:val="18"/>
              </w:rPr>
              <w:t xml:space="preserve">CCPA action on "100% free" claim</w:t>
            </w:r>
          </w:p>
        </w:tc>
        <w:tc>
          <w:tcPr>
            <w:tcW w:type="dxa" w:w="1600"/>
            <w:tcMar>
              <w:top w:type="dxa" w:w="80"/>
              <w:left w:type="dxa" w:w="100"/>
              <w:bottom w:type="dxa" w:w="80"/>
              <w:right w:type="dxa" w:w="100"/>
            </w:tcMar>
          </w:tcPr>
          <w:p>
            <w:r>
              <w:rPr>
                <w:b w:val="false"/>
                <w:bCs w:val="false"/>
                <w:color w:val="000000"/>
                <w:sz w:val="18"/>
                <w:szCs w:val="18"/>
              </w:rPr>
              <w:t xml:space="preserve">Medium-High (as currently worded)</w:t>
            </w:r>
          </w:p>
        </w:tc>
        <w:tc>
          <w:tcPr>
            <w:tcW w:type="dxa" w:w="2300"/>
            <w:tcMar>
              <w:top w:type="dxa" w:w="80"/>
              <w:left w:type="dxa" w:w="100"/>
              <w:bottom w:type="dxa" w:w="80"/>
              <w:right w:type="dxa" w:w="100"/>
            </w:tcMar>
          </w:tcPr>
          <w:p>
            <w:r>
              <w:rPr>
                <w:b w:val="false"/>
                <w:bCs w:val="false"/>
                <w:color w:val="000000"/>
                <w:sz w:val="18"/>
                <w:szCs w:val="18"/>
              </w:rPr>
              <w:t xml:space="preserve">High — fine up to ₹10–50 lakh, forced ad takedown</w:t>
            </w:r>
          </w:p>
        </w:tc>
        <w:tc>
          <w:tcPr>
            <w:tcW w:type="dxa" w:w="3300"/>
            <w:tcMar>
              <w:top w:type="dxa" w:w="80"/>
              <w:left w:type="dxa" w:w="100"/>
              <w:bottom w:type="dxa" w:w="80"/>
              <w:right w:type="dxa" w:w="100"/>
            </w:tcMar>
          </w:tcPr>
          <w:p>
            <w:r>
              <w:rPr>
                <w:b w:val="false"/>
                <w:bCs w:val="false"/>
                <w:color w:val="000000"/>
                <w:sz w:val="18"/>
                <w:szCs w:val="18"/>
              </w:rPr>
              <w:t xml:space="preserve">Reword all creatives per CCPA guidelines before any public post (Section 2.4)</w:t>
            </w:r>
          </w:p>
        </w:tc>
      </w:tr>
      <w:tr>
        <w:tc>
          <w:tcPr>
            <w:tcW w:type="dxa" w:w="2300"/>
            <w:tcMar>
              <w:top w:type="dxa" w:w="80"/>
              <w:left w:type="dxa" w:w="100"/>
              <w:bottom w:type="dxa" w:w="80"/>
              <w:right w:type="dxa" w:w="100"/>
            </w:tcMar>
          </w:tcPr>
          <w:p>
            <w:r>
              <w:rPr>
                <w:b w:val="false"/>
                <w:bCs w:val="false"/>
                <w:color w:val="000000"/>
                <w:sz w:val="18"/>
                <w:szCs w:val="18"/>
              </w:rPr>
              <w:t xml:space="preserve">Winner TDS/tax dispute at hand-over</w:t>
            </w:r>
          </w:p>
        </w:tc>
        <w:tc>
          <w:tcPr>
            <w:tcW w:type="dxa" w:w="1600"/>
            <w:tcMar>
              <w:top w:type="dxa" w:w="80"/>
              <w:left w:type="dxa" w:w="100"/>
              <w:bottom w:type="dxa" w:w="80"/>
              <w:right w:type="dxa" w:w="100"/>
            </w:tcMar>
          </w:tcPr>
          <w:p>
            <w:r>
              <w:rPr>
                <w:b w:val="false"/>
                <w:bCs w:val="false"/>
                <w:color w:val="000000"/>
                <w:sz w:val="18"/>
                <w:szCs w:val="18"/>
              </w:rPr>
              <w:t xml:space="preserve">Medium</w:t>
            </w:r>
          </w:p>
        </w:tc>
        <w:tc>
          <w:tcPr>
            <w:tcW w:type="dxa" w:w="2300"/>
            <w:tcMar>
              <w:top w:type="dxa" w:w="80"/>
              <w:left w:type="dxa" w:w="100"/>
              <w:bottom w:type="dxa" w:w="80"/>
              <w:right w:type="dxa" w:w="100"/>
            </w:tcMar>
          </w:tcPr>
          <w:p>
            <w:r>
              <w:rPr>
                <w:b w:val="false"/>
                <w:bCs w:val="false"/>
                <w:color w:val="000000"/>
                <w:sz w:val="18"/>
                <w:szCs w:val="18"/>
              </w:rPr>
              <w:t xml:space="preserve">Medium — public dispute on camera, delayed hand-over</w:t>
            </w:r>
          </w:p>
        </w:tc>
        <w:tc>
          <w:tcPr>
            <w:tcW w:type="dxa" w:w="3300"/>
            <w:tcMar>
              <w:top w:type="dxa" w:w="80"/>
              <w:left w:type="dxa" w:w="100"/>
              <w:bottom w:type="dxa" w:w="80"/>
              <w:right w:type="dxa" w:w="100"/>
            </w:tcMar>
          </w:tcPr>
          <w:p>
            <w:r>
              <w:rPr>
                <w:b w:val="false"/>
                <w:bCs w:val="false"/>
                <w:color w:val="000000"/>
                <w:sz w:val="18"/>
                <w:szCs w:val="18"/>
              </w:rPr>
              <w:t xml:space="preserve">Decide and publish Scenario A vs B in T&amp;C before launch; collect PAN early (Section 3)</w:t>
            </w:r>
          </w:p>
        </w:tc>
      </w:tr>
      <w:tr>
        <w:tc>
          <w:tcPr>
            <w:tcW w:type="dxa" w:w="2300"/>
            <w:tcMar>
              <w:top w:type="dxa" w:w="80"/>
              <w:left w:type="dxa" w:w="100"/>
              <w:bottom w:type="dxa" w:w="80"/>
              <w:right w:type="dxa" w:w="100"/>
            </w:tcMar>
          </w:tcPr>
          <w:p>
            <w:r>
              <w:rPr>
                <w:b w:val="false"/>
                <w:bCs w:val="false"/>
                <w:color w:val="000000"/>
                <w:sz w:val="18"/>
                <w:szCs w:val="18"/>
              </w:rPr>
              <w:t xml:space="preserve">Non-hallmarked item sold via a manufacturer listing</w:t>
            </w:r>
          </w:p>
        </w:tc>
        <w:tc>
          <w:tcPr>
            <w:tcW w:type="dxa" w:w="1600"/>
            <w:tcMar>
              <w:top w:type="dxa" w:w="80"/>
              <w:left w:type="dxa" w:w="100"/>
              <w:bottom w:type="dxa" w:w="80"/>
              <w:right w:type="dxa" w:w="100"/>
            </w:tcMar>
          </w:tcPr>
          <w:p>
            <w:r>
              <w:rPr>
                <w:b w:val="false"/>
                <w:bCs w:val="false"/>
                <w:color w:val="000000"/>
                <w:sz w:val="18"/>
                <w:szCs w:val="18"/>
              </w:rPr>
              <w:t xml:space="preserve">Medium (200 manufacturers, 4L+ SKUs)</w:t>
            </w:r>
          </w:p>
        </w:tc>
        <w:tc>
          <w:tcPr>
            <w:tcW w:type="dxa" w:w="2300"/>
            <w:tcMar>
              <w:top w:type="dxa" w:w="80"/>
              <w:left w:type="dxa" w:w="100"/>
              <w:bottom w:type="dxa" w:w="80"/>
              <w:right w:type="dxa" w:w="100"/>
            </w:tcMar>
          </w:tcPr>
          <w:p>
            <w:r>
              <w:rPr>
                <w:b w:val="false"/>
                <w:bCs w:val="false"/>
                <w:color w:val="000000"/>
                <w:sz w:val="18"/>
                <w:szCs w:val="18"/>
              </w:rPr>
              <w:t xml:space="preserve">High — regulatory penalty + consumer complaint, liability sits with Shivaa as seller</w:t>
            </w:r>
          </w:p>
        </w:tc>
        <w:tc>
          <w:tcPr>
            <w:tcW w:type="dxa" w:w="3300"/>
            <w:tcMar>
              <w:top w:type="dxa" w:w="80"/>
              <w:left w:type="dxa" w:w="100"/>
              <w:bottom w:type="dxa" w:w="80"/>
              <w:right w:type="dxa" w:w="100"/>
            </w:tcMar>
          </w:tcPr>
          <w:p>
            <w:r>
              <w:rPr>
                <w:b w:val="false"/>
                <w:bCs w:val="false"/>
                <w:color w:val="000000"/>
                <w:sz w:val="18"/>
                <w:szCs w:val="18"/>
              </w:rPr>
              <w:t xml:space="preserve">Batch-wise hallmarking verification before each catalog tranche goes live (Section 5.2, 6)</w:t>
            </w:r>
          </w:p>
        </w:tc>
      </w:tr>
      <w:tr>
        <w:tc>
          <w:tcPr>
            <w:tcW w:type="dxa" w:w="2300"/>
            <w:tcMar>
              <w:top w:type="dxa" w:w="80"/>
              <w:left w:type="dxa" w:w="100"/>
              <w:bottom w:type="dxa" w:w="80"/>
              <w:right w:type="dxa" w:w="100"/>
            </w:tcMar>
          </w:tcPr>
          <w:p>
            <w:r>
              <w:rPr>
                <w:b w:val="false"/>
                <w:bCs w:val="false"/>
                <w:color w:val="000000"/>
                <w:sz w:val="18"/>
                <w:szCs w:val="18"/>
              </w:rPr>
              <w:t xml:space="preserve">Gold price rises before 31 Dec, prize costs more than budgeted</w:t>
            </w:r>
          </w:p>
        </w:tc>
        <w:tc>
          <w:tcPr>
            <w:tcW w:type="dxa" w:w="1600"/>
            <w:tcMar>
              <w:top w:type="dxa" w:w="80"/>
              <w:left w:type="dxa" w:w="100"/>
              <w:bottom w:type="dxa" w:w="80"/>
              <w:right w:type="dxa" w:w="100"/>
            </w:tcMar>
          </w:tcPr>
          <w:p>
            <w:r>
              <w:rPr>
                <w:b w:val="false"/>
                <w:bCs w:val="false"/>
                <w:color w:val="000000"/>
                <w:sz w:val="18"/>
                <w:szCs w:val="18"/>
              </w:rPr>
              <w:t xml:space="preserve">Medium-High — historically likely in festive season</w:t>
            </w:r>
          </w:p>
        </w:tc>
        <w:tc>
          <w:tcPr>
            <w:tcW w:type="dxa" w:w="2300"/>
            <w:tcMar>
              <w:top w:type="dxa" w:w="80"/>
              <w:left w:type="dxa" w:w="100"/>
              <w:bottom w:type="dxa" w:w="80"/>
              <w:right w:type="dxa" w:w="100"/>
            </w:tcMar>
          </w:tcPr>
          <w:p>
            <w:r>
              <w:rPr>
                <w:b w:val="false"/>
                <w:bCs w:val="false"/>
                <w:color w:val="000000"/>
                <w:sz w:val="18"/>
                <w:szCs w:val="18"/>
              </w:rPr>
              <w:t xml:space="preserve">Medium — budget overrun on the single largest cost line</w:t>
            </w:r>
          </w:p>
        </w:tc>
        <w:tc>
          <w:tcPr>
            <w:tcW w:type="dxa" w:w="3300"/>
            <w:tcMar>
              <w:top w:type="dxa" w:w="80"/>
              <w:left w:type="dxa" w:w="100"/>
              <w:bottom w:type="dxa" w:w="80"/>
              <w:right w:type="dxa" w:w="100"/>
            </w:tcMar>
          </w:tcPr>
          <w:p>
            <w:r>
              <w:rPr>
                <w:b w:val="false"/>
                <w:bCs w:val="false"/>
                <w:color w:val="000000"/>
                <w:sz w:val="18"/>
                <w:szCs w:val="18"/>
              </w:rPr>
              <w:t xml:space="preserve">Model the prize cost as a range, not a fixed ₹15L, in the financial plan (Section 16)</w:t>
            </w:r>
          </w:p>
        </w:tc>
      </w:tr>
      <w:tr>
        <w:tc>
          <w:tcPr>
            <w:tcW w:type="dxa" w:w="2300"/>
            <w:tcMar>
              <w:top w:type="dxa" w:w="80"/>
              <w:left w:type="dxa" w:w="100"/>
              <w:bottom w:type="dxa" w:w="80"/>
              <w:right w:type="dxa" w:w="100"/>
            </w:tcMar>
          </w:tcPr>
          <w:p>
            <w:r>
              <w:rPr>
                <w:b w:val="false"/>
                <w:bCs w:val="false"/>
                <w:color w:val="000000"/>
                <w:sz w:val="18"/>
                <w:szCs w:val="18"/>
              </w:rPr>
              <w:t xml:space="preserve">Website/catalog build delays compress the marketing window</w:t>
            </w:r>
          </w:p>
        </w:tc>
        <w:tc>
          <w:tcPr>
            <w:tcW w:type="dxa" w:w="1600"/>
            <w:tcMar>
              <w:top w:type="dxa" w:w="80"/>
              <w:left w:type="dxa" w:w="100"/>
              <w:bottom w:type="dxa" w:w="80"/>
              <w:right w:type="dxa" w:w="100"/>
            </w:tcMar>
          </w:tcPr>
          <w:p>
            <w:r>
              <w:rPr>
                <w:b w:val="false"/>
                <w:bCs w:val="false"/>
                <w:color w:val="000000"/>
                <w:sz w:val="18"/>
                <w:szCs w:val="18"/>
              </w:rPr>
              <w:t xml:space="preserve">Medium — large integration across 200 suppliers</w:t>
            </w:r>
          </w:p>
        </w:tc>
        <w:tc>
          <w:tcPr>
            <w:tcW w:type="dxa" w:w="2300"/>
            <w:tcMar>
              <w:top w:type="dxa" w:w="80"/>
              <w:left w:type="dxa" w:w="100"/>
              <w:bottom w:type="dxa" w:w="80"/>
              <w:right w:type="dxa" w:w="100"/>
            </w:tcMar>
          </w:tcPr>
          <w:p>
            <w:r>
              <w:rPr>
                <w:b w:val="false"/>
                <w:bCs w:val="false"/>
                <w:color w:val="000000"/>
                <w:sz w:val="18"/>
                <w:szCs w:val="18"/>
              </w:rPr>
              <w:t xml:space="preserve">Medium — rushed or shortened public campaign</w:t>
            </w:r>
          </w:p>
        </w:tc>
        <w:tc>
          <w:tcPr>
            <w:tcW w:type="dxa" w:w="3300"/>
            <w:tcMar>
              <w:top w:type="dxa" w:w="80"/>
              <w:left w:type="dxa" w:w="100"/>
              <w:bottom w:type="dxa" w:w="80"/>
              <w:right w:type="dxa" w:w="100"/>
            </w:tcMar>
          </w:tcPr>
          <w:p>
            <w:r>
              <w:rPr>
                <w:b w:val="false"/>
                <w:bCs w:val="false"/>
                <w:color w:val="000000"/>
                <w:sz w:val="18"/>
                <w:szCs w:val="18"/>
              </w:rPr>
              <w:t xml:space="preserve">Sequence phases with buffer as in Section 15; do not let marketing spend start before UAT passes</w:t>
            </w:r>
          </w:p>
        </w:tc>
      </w:tr>
      <w:tr>
        <w:tc>
          <w:tcPr>
            <w:tcW w:type="dxa" w:w="2300"/>
            <w:tcMar>
              <w:top w:type="dxa" w:w="80"/>
              <w:left w:type="dxa" w:w="100"/>
              <w:bottom w:type="dxa" w:w="80"/>
              <w:right w:type="dxa" w:w="100"/>
            </w:tcMar>
          </w:tcPr>
          <w:p>
            <w:r>
              <w:rPr>
                <w:b w:val="false"/>
                <w:bCs w:val="false"/>
                <w:color w:val="000000"/>
                <w:sz w:val="18"/>
                <w:szCs w:val="18"/>
              </w:rPr>
              <w:t xml:space="preserve">Consumer complaint over odds/fairness of the draw</w:t>
            </w:r>
          </w:p>
        </w:tc>
        <w:tc>
          <w:tcPr>
            <w:tcW w:type="dxa" w:w="1600"/>
            <w:tcMar>
              <w:top w:type="dxa" w:w="80"/>
              <w:left w:type="dxa" w:w="100"/>
              <w:bottom w:type="dxa" w:w="80"/>
              <w:right w:type="dxa" w:w="100"/>
            </w:tcMar>
          </w:tcPr>
          <w:p>
            <w:r>
              <w:rPr>
                <w:b w:val="false"/>
                <w:bCs w:val="false"/>
                <w:color w:val="000000"/>
                <w:sz w:val="18"/>
                <w:szCs w:val="18"/>
              </w:rPr>
              <w:t xml:space="preserve">Medium over a 3.5-month, high-visibility run</w:t>
            </w:r>
          </w:p>
        </w:tc>
        <w:tc>
          <w:tcPr>
            <w:tcW w:type="dxa" w:w="2300"/>
            <w:tcMar>
              <w:top w:type="dxa" w:w="80"/>
              <w:left w:type="dxa" w:w="100"/>
              <w:bottom w:type="dxa" w:w="80"/>
              <w:right w:type="dxa" w:w="100"/>
            </w:tcMar>
          </w:tcPr>
          <w:p>
            <w:r>
              <w:rPr>
                <w:b w:val="false"/>
                <w:bCs w:val="false"/>
                <w:color w:val="000000"/>
                <w:sz w:val="18"/>
                <w:szCs w:val="18"/>
              </w:rPr>
              <w:t xml:space="preserve">Medium — CCPA/consumer-court exposure, brand damage</w:t>
            </w:r>
          </w:p>
        </w:tc>
        <w:tc>
          <w:tcPr>
            <w:tcW w:type="dxa" w:w="3300"/>
            <w:tcMar>
              <w:top w:type="dxa" w:w="80"/>
              <w:left w:type="dxa" w:w="100"/>
              <w:bottom w:type="dxa" w:w="80"/>
              <w:right w:type="dxa" w:w="100"/>
            </w:tcMar>
          </w:tcPr>
          <w:p>
            <w:r>
              <w:rPr>
                <w:b w:val="false"/>
                <w:bCs w:val="false"/>
                <w:color w:val="000000"/>
                <w:sz w:val="18"/>
                <w:szCs w:val="18"/>
              </w:rPr>
              <w:t xml:space="preserve">CA/notary-witnessed draw, full recording kept, clear published T&amp;C (Section 7)</w:t>
            </w:r>
          </w:p>
        </w:tc>
      </w:tr>
    </w:tbl>
    <w:p>
      <w:r>
        <w:br w:type="page"/>
      </w:r>
    </w:p>
    <w:p>
      <w:pPr>
        <w:pStyle w:val="Heading1"/>
        <w:pBdr>
          <w:bottom w:val="single" w:color="9C7A2E" w:sz="8" w:space="4"/>
        </w:pBdr>
        <w:spacing w:after="160" w:before="320"/>
      </w:pPr>
      <w:r>
        <w:rPr>
          <w:b/>
          <w:bCs/>
          <w:color w:val="5C1A1A"/>
          <w:sz w:val="28"/>
          <w:szCs w:val="28"/>
        </w:rPr>
        <w:t xml:space="preserve">12. Marketing Plan &amp; Budget — ₹9,00,000 over 3 Months</w:t>
      </w:r>
    </w:p>
    <w:p>
      <w:pPr>
        <w:spacing w:after="120"/>
      </w:pPr>
      <w:r>
        <w:rPr>
          <w:sz w:val="21"/>
          <w:szCs w:val="21"/>
        </w:rPr>
        <w:t xml:space="preserve">With more runway and a larger budget than the earlier draft, the spend can now be properly phased instead of compressed into a single push. Recommended structure below, aligned to the campaign phases in Section 15.</w:t>
      </w:r>
    </w:p>
    <w:p>
      <w:pPr>
        <w:pStyle w:val="Heading2"/>
        <w:spacing w:after="100" w:before="240"/>
      </w:pPr>
      <w:r>
        <w:rPr>
          <w:b/>
          <w:bCs/>
          <w:color w:val="9C7A2E"/>
          <w:sz w:val="23"/>
          <w:szCs w:val="23"/>
        </w:rPr>
        <w:t xml:space="preserve">12.1 Phase-wise allocation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1300"/>
        <w:gridCol w:w="1200"/>
      </w:tblGrid>
      <w:tr>
        <w:tc>
          <w:tcPr>
            <w:tcW w:type="dxa" w:w="2600"/>
            <w:shd w:fill="5C1A1A" w:val="clear"/>
            <w:tcMar>
              <w:top w:type="dxa" w:w="80"/>
              <w:left w:type="dxa" w:w="100"/>
              <w:bottom w:type="dxa" w:w="80"/>
              <w:right w:type="dxa" w:w="100"/>
            </w:tcMar>
          </w:tcPr>
          <w:p>
            <w:r>
              <w:rPr>
                <w:b/>
                <w:bCs/>
                <w:color w:val="FFFFFF"/>
                <w:sz w:val="18"/>
                <w:szCs w:val="18"/>
              </w:rPr>
              <w:t xml:space="preserve">Phase</w:t>
            </w:r>
          </w:p>
        </w:tc>
        <w:tc>
          <w:tcPr>
            <w:tcW w:type="dxa" w:w="2200"/>
            <w:shd w:fill="5C1A1A" w:val="clear"/>
            <w:tcMar>
              <w:top w:type="dxa" w:w="80"/>
              <w:left w:type="dxa" w:w="100"/>
              <w:bottom w:type="dxa" w:w="80"/>
              <w:right w:type="dxa" w:w="100"/>
            </w:tcMar>
          </w:tcPr>
          <w:p>
            <w:r>
              <w:rPr>
                <w:b/>
                <w:bCs/>
                <w:color w:val="FFFFFF"/>
                <w:sz w:val="18"/>
                <w:szCs w:val="18"/>
              </w:rPr>
              <w:t xml:space="preserve">Approx. window</w:t>
            </w:r>
          </w:p>
        </w:tc>
        <w:tc>
          <w:tcPr>
            <w:tcW w:type="dxa" w:w="2600"/>
            <w:shd w:fill="5C1A1A" w:val="clear"/>
            <w:tcMar>
              <w:top w:type="dxa" w:w="80"/>
              <w:left w:type="dxa" w:w="100"/>
              <w:bottom w:type="dxa" w:w="80"/>
              <w:right w:type="dxa" w:w="100"/>
            </w:tcMar>
          </w:tcPr>
          <w:p>
            <w:r>
              <w:rPr>
                <w:b/>
                <w:bCs/>
                <w:color w:val="FFFFFF"/>
                <w:sz w:val="18"/>
                <w:szCs w:val="18"/>
              </w:rPr>
              <w:t xml:space="preserve">Focus</w:t>
            </w:r>
          </w:p>
        </w:tc>
        <w:tc>
          <w:tcPr>
            <w:tcW w:type="dxa" w:w="1300"/>
            <w:shd w:fill="5C1A1A" w:val="clear"/>
            <w:tcMar>
              <w:top w:type="dxa" w:w="80"/>
              <w:left w:type="dxa" w:w="100"/>
              <w:bottom w:type="dxa" w:w="80"/>
              <w:right w:type="dxa" w:w="100"/>
            </w:tcMar>
          </w:tcPr>
          <w:p>
            <w:r>
              <w:rPr>
                <w:b/>
                <w:bCs/>
                <w:color w:val="FFFFFF"/>
                <w:sz w:val="18"/>
                <w:szCs w:val="18"/>
              </w:rPr>
              <w:t xml:space="preserve">Budget</w:t>
            </w:r>
          </w:p>
        </w:tc>
        <w:tc>
          <w:tcPr>
            <w:tcW w:type="dxa" w:w="1200"/>
            <w:shd w:fill="5C1A1A" w:val="clear"/>
            <w:tcMar>
              <w:top w:type="dxa" w:w="80"/>
              <w:left w:type="dxa" w:w="100"/>
              <w:bottom w:type="dxa" w:w="80"/>
              <w:right w:type="dxa" w:w="100"/>
            </w:tcMar>
          </w:tcPr>
          <w:p>
            <w:r>
              <w:rPr>
                <w:b/>
                <w:bCs/>
                <w:color w:val="FFFFFF"/>
                <w:sz w:val="18"/>
                <w:szCs w:val="18"/>
              </w:rPr>
              <w:t xml:space="preserve">% of total</w:t>
            </w:r>
          </w:p>
        </w:tc>
      </w:tr>
      <w:tr>
        <w:tc>
          <w:tcPr>
            <w:tcW w:type="dxa" w:w="2600"/>
            <w:tcMar>
              <w:top w:type="dxa" w:w="80"/>
              <w:left w:type="dxa" w:w="100"/>
              <w:bottom w:type="dxa" w:w="80"/>
              <w:right w:type="dxa" w:w="100"/>
            </w:tcMar>
          </w:tcPr>
          <w:p>
            <w:r>
              <w:rPr>
                <w:b w:val="false"/>
                <w:bCs w:val="false"/>
                <w:color w:val="000000"/>
                <w:sz w:val="18"/>
                <w:szCs w:val="18"/>
              </w:rPr>
              <w:t xml:space="preserve">Month 1 — Teaser &amp; Ramp-up</w:t>
            </w:r>
          </w:p>
        </w:tc>
        <w:tc>
          <w:tcPr>
            <w:tcW w:type="dxa" w:w="2200"/>
            <w:tcMar>
              <w:top w:type="dxa" w:w="80"/>
              <w:left w:type="dxa" w:w="100"/>
              <w:bottom w:type="dxa" w:w="80"/>
              <w:right w:type="dxa" w:w="100"/>
            </w:tcMar>
          </w:tcPr>
          <w:p>
            <w:r>
              <w:rPr>
                <w:b w:val="false"/>
                <w:bCs w:val="false"/>
                <w:color w:val="000000"/>
                <w:sz w:val="18"/>
                <w:szCs w:val="18"/>
              </w:rPr>
              <w:t xml:space="preserve">Mid-Oct – Mid-Nov 2026</w:t>
            </w:r>
          </w:p>
        </w:tc>
        <w:tc>
          <w:tcPr>
            <w:tcW w:type="dxa" w:w="2600"/>
            <w:tcMar>
              <w:top w:type="dxa" w:w="80"/>
              <w:left w:type="dxa" w:w="100"/>
              <w:bottom w:type="dxa" w:w="80"/>
              <w:right w:type="dxa" w:w="100"/>
            </w:tcMar>
          </w:tcPr>
          <w:p>
            <w:r>
              <w:rPr>
                <w:b w:val="false"/>
                <w:bCs w:val="false"/>
                <w:color w:val="000000"/>
                <w:sz w:val="18"/>
                <w:szCs w:val="18"/>
              </w:rPr>
              <w:t xml:space="preserve">Catalog reveal, follower/pixel building, soft-launch traffic, early retargeting pool creation</w:t>
            </w:r>
          </w:p>
        </w:tc>
        <w:tc>
          <w:tcPr>
            <w:tcW w:type="dxa" w:w="1300"/>
            <w:tcMar>
              <w:top w:type="dxa" w:w="80"/>
              <w:left w:type="dxa" w:w="100"/>
              <w:bottom w:type="dxa" w:w="80"/>
              <w:right w:type="dxa" w:w="100"/>
            </w:tcMar>
          </w:tcPr>
          <w:p>
            <w:r>
              <w:rPr>
                <w:b w:val="false"/>
                <w:bCs w:val="false"/>
                <w:color w:val="000000"/>
                <w:sz w:val="18"/>
                <w:szCs w:val="18"/>
              </w:rPr>
              <w:t xml:space="preserve">₹2,25,000</w:t>
            </w:r>
          </w:p>
        </w:tc>
        <w:tc>
          <w:tcPr>
            <w:tcW w:type="dxa" w:w="1200"/>
            <w:tcMar>
              <w:top w:type="dxa" w:w="80"/>
              <w:left w:type="dxa" w:w="100"/>
              <w:bottom w:type="dxa" w:w="80"/>
              <w:right w:type="dxa" w:w="100"/>
            </w:tcMar>
          </w:tcPr>
          <w:p>
            <w:r>
              <w:rPr>
                <w:b w:val="false"/>
                <w:bCs w:val="false"/>
                <w:color w:val="000000"/>
                <w:sz w:val="18"/>
                <w:szCs w:val="18"/>
              </w:rPr>
              <w:t xml:space="preserve">25%</w:t>
            </w:r>
          </w:p>
        </w:tc>
      </w:tr>
      <w:tr>
        <w:tc>
          <w:tcPr>
            <w:tcW w:type="dxa" w:w="2600"/>
            <w:tcMar>
              <w:top w:type="dxa" w:w="80"/>
              <w:left w:type="dxa" w:w="100"/>
              <w:bottom w:type="dxa" w:w="80"/>
              <w:right w:type="dxa" w:w="100"/>
            </w:tcMar>
          </w:tcPr>
          <w:p>
            <w:r>
              <w:rPr>
                <w:b w:val="false"/>
                <w:bCs w:val="false"/>
                <w:color w:val="000000"/>
                <w:sz w:val="18"/>
                <w:szCs w:val="18"/>
              </w:rPr>
              <w:t xml:space="preserve">Month 2 — Peak Campaign</w:t>
            </w:r>
          </w:p>
        </w:tc>
        <w:tc>
          <w:tcPr>
            <w:tcW w:type="dxa" w:w="2200"/>
            <w:tcMar>
              <w:top w:type="dxa" w:w="80"/>
              <w:left w:type="dxa" w:w="100"/>
              <w:bottom w:type="dxa" w:w="80"/>
              <w:right w:type="dxa" w:w="100"/>
            </w:tcMar>
          </w:tcPr>
          <w:p>
            <w:r>
              <w:rPr>
                <w:b w:val="false"/>
                <w:bCs w:val="false"/>
                <w:color w:val="000000"/>
                <w:sz w:val="18"/>
                <w:szCs w:val="18"/>
              </w:rPr>
              <w:t xml:space="preserve">Mid-Nov – Mid-Dec 2026</w:t>
            </w:r>
          </w:p>
        </w:tc>
        <w:tc>
          <w:tcPr>
            <w:tcW w:type="dxa" w:w="2600"/>
            <w:tcMar>
              <w:top w:type="dxa" w:w="80"/>
              <w:left w:type="dxa" w:w="100"/>
              <w:bottom w:type="dxa" w:w="80"/>
              <w:right w:type="dxa" w:w="100"/>
            </w:tcMar>
          </w:tcPr>
          <w:p>
            <w:r>
              <w:rPr>
                <w:b w:val="false"/>
                <w:bCs w:val="false"/>
                <w:color w:val="000000"/>
                <w:sz w:val="18"/>
                <w:szCs w:val="18"/>
              </w:rPr>
              <w:t xml:space="preserve">Main paid push, boosted Instagram Lives, purchase + quiz + free-entry window at its widest reach</w:t>
            </w:r>
          </w:p>
        </w:tc>
        <w:tc>
          <w:tcPr>
            <w:tcW w:type="dxa" w:w="1300"/>
            <w:tcMar>
              <w:top w:type="dxa" w:w="80"/>
              <w:left w:type="dxa" w:w="100"/>
              <w:bottom w:type="dxa" w:w="80"/>
              <w:right w:type="dxa" w:w="100"/>
            </w:tcMar>
          </w:tcPr>
          <w:p>
            <w:r>
              <w:rPr>
                <w:b w:val="false"/>
                <w:bCs w:val="false"/>
                <w:color w:val="000000"/>
                <w:sz w:val="18"/>
                <w:szCs w:val="18"/>
              </w:rPr>
              <w:t xml:space="preserve">₹4,50,000</w:t>
            </w:r>
          </w:p>
        </w:tc>
        <w:tc>
          <w:tcPr>
            <w:tcW w:type="dxa" w:w="1200"/>
            <w:tcMar>
              <w:top w:type="dxa" w:w="80"/>
              <w:left w:type="dxa" w:w="100"/>
              <w:bottom w:type="dxa" w:w="80"/>
              <w:right w:type="dxa" w:w="100"/>
            </w:tcMar>
          </w:tcPr>
          <w:p>
            <w:r>
              <w:rPr>
                <w:b w:val="false"/>
                <w:bCs w:val="false"/>
                <w:color w:val="000000"/>
                <w:sz w:val="18"/>
                <w:szCs w:val="18"/>
              </w:rPr>
              <w:t xml:space="preserve">50%</w:t>
            </w:r>
          </w:p>
        </w:tc>
      </w:tr>
      <w:tr>
        <w:tc>
          <w:tcPr>
            <w:tcW w:type="dxa" w:w="2600"/>
            <w:tcMar>
              <w:top w:type="dxa" w:w="80"/>
              <w:left w:type="dxa" w:w="100"/>
              <w:bottom w:type="dxa" w:w="80"/>
              <w:right w:type="dxa" w:w="100"/>
            </w:tcMar>
          </w:tcPr>
          <w:p>
            <w:r>
              <w:rPr>
                <w:b w:val="false"/>
                <w:bCs w:val="false"/>
                <w:color w:val="000000"/>
                <w:sz w:val="18"/>
                <w:szCs w:val="18"/>
              </w:rPr>
              <w:t xml:space="preserve">Month 3 — Final Push &amp; Draw</w:t>
            </w:r>
          </w:p>
        </w:tc>
        <w:tc>
          <w:tcPr>
            <w:tcW w:type="dxa" w:w="2200"/>
            <w:tcMar>
              <w:top w:type="dxa" w:w="80"/>
              <w:left w:type="dxa" w:w="100"/>
              <w:bottom w:type="dxa" w:w="80"/>
              <w:right w:type="dxa" w:w="100"/>
            </w:tcMar>
          </w:tcPr>
          <w:p>
            <w:r>
              <w:rPr>
                <w:b w:val="false"/>
                <w:bCs w:val="false"/>
                <w:color w:val="000000"/>
                <w:sz w:val="18"/>
                <w:szCs w:val="18"/>
              </w:rPr>
              <w:t xml:space="preserve">Mid-Dec – 31 Dec 2026</w:t>
            </w:r>
          </w:p>
        </w:tc>
        <w:tc>
          <w:tcPr>
            <w:tcW w:type="dxa" w:w="2600"/>
            <w:tcMar>
              <w:top w:type="dxa" w:w="80"/>
              <w:left w:type="dxa" w:w="100"/>
              <w:bottom w:type="dxa" w:w="80"/>
              <w:right w:type="dxa" w:w="100"/>
            </w:tcMar>
          </w:tcPr>
          <w:p>
            <w:r>
              <w:rPr>
                <w:b w:val="false"/>
                <w:bCs w:val="false"/>
                <w:color w:val="000000"/>
                <w:sz w:val="18"/>
                <w:szCs w:val="18"/>
              </w:rPr>
              <w:t xml:space="preserve">Cart-abandoner retargeting, countdown content, live-draw promotion and post-draw amplification</w:t>
            </w:r>
          </w:p>
        </w:tc>
        <w:tc>
          <w:tcPr>
            <w:tcW w:type="dxa" w:w="1300"/>
            <w:tcMar>
              <w:top w:type="dxa" w:w="80"/>
              <w:left w:type="dxa" w:w="100"/>
              <w:bottom w:type="dxa" w:w="80"/>
              <w:right w:type="dxa" w:w="100"/>
            </w:tcMar>
          </w:tcPr>
          <w:p>
            <w:r>
              <w:rPr>
                <w:b w:val="false"/>
                <w:bCs w:val="false"/>
                <w:color w:val="000000"/>
                <w:sz w:val="18"/>
                <w:szCs w:val="18"/>
              </w:rPr>
              <w:t xml:space="preserve">₹2,25,000</w:t>
            </w:r>
          </w:p>
        </w:tc>
        <w:tc>
          <w:tcPr>
            <w:tcW w:type="dxa" w:w="1200"/>
            <w:tcMar>
              <w:top w:type="dxa" w:w="80"/>
              <w:left w:type="dxa" w:w="100"/>
              <w:bottom w:type="dxa" w:w="80"/>
              <w:right w:type="dxa" w:w="100"/>
            </w:tcMar>
          </w:tcPr>
          <w:p>
            <w:r>
              <w:rPr>
                <w:b w:val="false"/>
                <w:bCs w:val="false"/>
                <w:color w:val="000000"/>
                <w:sz w:val="18"/>
                <w:szCs w:val="18"/>
              </w:rPr>
              <w:t xml:space="preserve">25%</w:t>
            </w:r>
          </w:p>
        </w:tc>
      </w:tr>
    </w:tbl>
    <w:p>
      <w:pPr>
        <w:pStyle w:val="Heading2"/>
        <w:spacing w:after="100" w:before="240"/>
      </w:pPr>
      <w:r>
        <w:rPr>
          <w:b/>
          <w:bCs/>
          <w:color w:val="9C7A2E"/>
          <w:sz w:val="23"/>
          <w:szCs w:val="23"/>
        </w:rPr>
        <w:t xml:space="preserve">12.2 Channel-wise allocation (illustrative)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200"/>
        <w:gridCol w:w="2900"/>
      </w:tblGrid>
      <w:tr>
        <w:tc>
          <w:tcPr>
            <w:tcW w:type="dxa" w:w="3800"/>
            <w:shd w:fill="5C1A1A" w:val="clear"/>
            <w:tcMar>
              <w:top w:type="dxa" w:w="80"/>
              <w:left w:type="dxa" w:w="100"/>
              <w:bottom w:type="dxa" w:w="80"/>
              <w:right w:type="dxa" w:w="100"/>
            </w:tcMar>
          </w:tcPr>
          <w:p>
            <w:r>
              <w:rPr>
                <w:b/>
                <w:bCs/>
                <w:color w:val="FFFFFF"/>
                <w:sz w:val="18"/>
                <w:szCs w:val="18"/>
              </w:rPr>
              <w:t xml:space="preserve">Channel / Activity</w:t>
            </w:r>
          </w:p>
        </w:tc>
        <w:tc>
          <w:tcPr>
            <w:tcW w:type="dxa" w:w="1600"/>
            <w:shd w:fill="5C1A1A" w:val="clear"/>
            <w:tcMar>
              <w:top w:type="dxa" w:w="80"/>
              <w:left w:type="dxa" w:w="100"/>
              <w:bottom w:type="dxa" w:w="80"/>
              <w:right w:type="dxa" w:w="100"/>
            </w:tcMar>
          </w:tcPr>
          <w:p>
            <w:r>
              <w:rPr>
                <w:b/>
                <w:bCs/>
                <w:color w:val="FFFFFF"/>
                <w:sz w:val="18"/>
                <w:szCs w:val="18"/>
              </w:rPr>
              <w:t xml:space="preserve">Budget</w:t>
            </w:r>
          </w:p>
        </w:tc>
        <w:tc>
          <w:tcPr>
            <w:tcW w:type="dxa" w:w="1200"/>
            <w:shd w:fill="5C1A1A" w:val="clear"/>
            <w:tcMar>
              <w:top w:type="dxa" w:w="80"/>
              <w:left w:type="dxa" w:w="100"/>
              <w:bottom w:type="dxa" w:w="80"/>
              <w:right w:type="dxa" w:w="100"/>
            </w:tcMar>
          </w:tcPr>
          <w:p>
            <w:r>
              <w:rPr>
                <w:b/>
                <w:bCs/>
                <w:color w:val="FFFFFF"/>
                <w:sz w:val="18"/>
                <w:szCs w:val="18"/>
              </w:rPr>
              <w:t xml:space="preserve">% of total</w:t>
            </w:r>
          </w:p>
        </w:tc>
        <w:tc>
          <w:tcPr>
            <w:tcW w:type="dxa" w:w="2900"/>
            <w:shd w:fill="5C1A1A" w:val="clear"/>
            <w:tcMar>
              <w:top w:type="dxa" w:w="80"/>
              <w:left w:type="dxa" w:w="100"/>
              <w:bottom w:type="dxa" w:w="80"/>
              <w:right w:type="dxa" w:w="100"/>
            </w:tcMar>
          </w:tcPr>
          <w:p>
            <w:r>
              <w:rPr>
                <w:b/>
                <w:bCs/>
                <w:color w:val="FFFFFF"/>
                <w:sz w:val="18"/>
                <w:szCs w:val="18"/>
              </w:rPr>
              <w:t xml:space="preserve">Notes</w:t>
            </w:r>
          </w:p>
        </w:tc>
      </w:tr>
      <w:tr>
        <w:tc>
          <w:tcPr>
            <w:tcW w:type="dxa" w:w="3800"/>
            <w:tcMar>
              <w:top w:type="dxa" w:w="80"/>
              <w:left w:type="dxa" w:w="100"/>
              <w:bottom w:type="dxa" w:w="80"/>
              <w:right w:type="dxa" w:w="100"/>
            </w:tcMar>
          </w:tcPr>
          <w:p>
            <w:r>
              <w:rPr>
                <w:b w:val="false"/>
                <w:bCs w:val="false"/>
                <w:color w:val="000000"/>
                <w:sz w:val="18"/>
                <w:szCs w:val="18"/>
              </w:rPr>
              <w:t xml:space="preserve">Paid Instagram ads &amp; boosted posts/Lives</w:t>
            </w:r>
          </w:p>
        </w:tc>
        <w:tc>
          <w:tcPr>
            <w:tcW w:type="dxa" w:w="1600"/>
            <w:tcMar>
              <w:top w:type="dxa" w:w="80"/>
              <w:left w:type="dxa" w:w="100"/>
              <w:bottom w:type="dxa" w:w="80"/>
              <w:right w:type="dxa" w:w="100"/>
            </w:tcMar>
          </w:tcPr>
          <w:p>
            <w:r>
              <w:rPr>
                <w:b w:val="false"/>
                <w:bCs w:val="false"/>
                <w:color w:val="000000"/>
                <w:sz w:val="18"/>
                <w:szCs w:val="18"/>
              </w:rPr>
              <w:t xml:space="preserve">₹4,95,000</w:t>
            </w:r>
          </w:p>
        </w:tc>
        <w:tc>
          <w:tcPr>
            <w:tcW w:type="dxa" w:w="1200"/>
            <w:tcMar>
              <w:top w:type="dxa" w:w="80"/>
              <w:left w:type="dxa" w:w="100"/>
              <w:bottom w:type="dxa" w:w="80"/>
              <w:right w:type="dxa" w:w="100"/>
            </w:tcMar>
          </w:tcPr>
          <w:p>
            <w:r>
              <w:rPr>
                <w:b w:val="false"/>
                <w:bCs w:val="false"/>
                <w:color w:val="000000"/>
                <w:sz w:val="18"/>
                <w:szCs w:val="18"/>
              </w:rPr>
              <w:t xml:space="preserve">55%</w:t>
            </w:r>
          </w:p>
        </w:tc>
        <w:tc>
          <w:tcPr>
            <w:tcW w:type="dxa" w:w="2900"/>
            <w:tcMar>
              <w:top w:type="dxa" w:w="80"/>
              <w:left w:type="dxa" w:w="100"/>
              <w:bottom w:type="dxa" w:w="80"/>
              <w:right w:type="dxa" w:w="100"/>
            </w:tcMar>
          </w:tcPr>
          <w:p>
            <w:r>
              <w:rPr>
                <w:b w:val="false"/>
                <w:bCs w:val="false"/>
                <w:color w:val="000000"/>
                <w:sz w:val="18"/>
                <w:szCs w:val="18"/>
              </w:rPr>
              <w:t xml:space="preserve">Core reach and conversion driver across all three phases</w:t>
            </w:r>
          </w:p>
        </w:tc>
      </w:tr>
      <w:tr>
        <w:tc>
          <w:tcPr>
            <w:tcW w:type="dxa" w:w="3800"/>
            <w:tcMar>
              <w:top w:type="dxa" w:w="80"/>
              <w:left w:type="dxa" w:w="100"/>
              <w:bottom w:type="dxa" w:w="80"/>
              <w:right w:type="dxa" w:w="100"/>
            </w:tcMar>
          </w:tcPr>
          <w:p>
            <w:r>
              <w:rPr>
                <w:b w:val="false"/>
                <w:bCs w:val="false"/>
                <w:color w:val="000000"/>
                <w:sz w:val="18"/>
                <w:szCs w:val="18"/>
              </w:rPr>
              <w:t xml:space="preserve">Micro-influencer / local jewellery-community collaborations</w:t>
            </w:r>
          </w:p>
        </w:tc>
        <w:tc>
          <w:tcPr>
            <w:tcW w:type="dxa" w:w="1600"/>
            <w:tcMar>
              <w:top w:type="dxa" w:w="80"/>
              <w:left w:type="dxa" w:w="100"/>
              <w:bottom w:type="dxa" w:w="80"/>
              <w:right w:type="dxa" w:w="100"/>
            </w:tcMar>
          </w:tcPr>
          <w:p>
            <w:r>
              <w:rPr>
                <w:b w:val="false"/>
                <w:bCs w:val="false"/>
                <w:color w:val="000000"/>
                <w:sz w:val="18"/>
                <w:szCs w:val="18"/>
              </w:rPr>
              <w:t xml:space="preserve">₹1,80,000</w:t>
            </w:r>
          </w:p>
        </w:tc>
        <w:tc>
          <w:tcPr>
            <w:tcW w:type="dxa" w:w="1200"/>
            <w:tcMar>
              <w:top w:type="dxa" w:w="80"/>
              <w:left w:type="dxa" w:w="100"/>
              <w:bottom w:type="dxa" w:w="80"/>
              <w:right w:type="dxa" w:w="100"/>
            </w:tcMar>
          </w:tcPr>
          <w:p>
            <w:r>
              <w:rPr>
                <w:b w:val="false"/>
                <w:bCs w:val="false"/>
                <w:color w:val="000000"/>
                <w:sz w:val="18"/>
                <w:szCs w:val="18"/>
              </w:rPr>
              <w:t xml:space="preserve">20%</w:t>
            </w:r>
          </w:p>
        </w:tc>
        <w:tc>
          <w:tcPr>
            <w:tcW w:type="dxa" w:w="2900"/>
            <w:tcMar>
              <w:top w:type="dxa" w:w="80"/>
              <w:left w:type="dxa" w:w="100"/>
              <w:bottom w:type="dxa" w:w="80"/>
              <w:right w:type="dxa" w:w="100"/>
            </w:tcMar>
          </w:tcPr>
          <w:p>
            <w:r>
              <w:rPr>
                <w:b w:val="false"/>
                <w:bCs w:val="false"/>
                <w:color w:val="000000"/>
                <w:sz w:val="18"/>
                <w:szCs w:val="18"/>
              </w:rPr>
              <w:t xml:space="preserve">Regional trust-building, especially valuable in the Rajasthan/Nagaur market and Rajasthani diaspora audiences</w:t>
            </w:r>
          </w:p>
        </w:tc>
      </w:tr>
      <w:tr>
        <w:tc>
          <w:tcPr>
            <w:tcW w:type="dxa" w:w="3800"/>
            <w:tcMar>
              <w:top w:type="dxa" w:w="80"/>
              <w:left w:type="dxa" w:w="100"/>
              <w:bottom w:type="dxa" w:w="80"/>
              <w:right w:type="dxa" w:w="100"/>
            </w:tcMar>
          </w:tcPr>
          <w:p>
            <w:r>
              <w:rPr>
                <w:b w:val="false"/>
                <w:bCs w:val="false"/>
                <w:color w:val="000000"/>
                <w:sz w:val="18"/>
                <w:szCs w:val="18"/>
              </w:rPr>
              <w:t xml:space="preserve">Content production (reels, photography, video editing, live-draw production)</w:t>
            </w:r>
          </w:p>
        </w:tc>
        <w:tc>
          <w:tcPr>
            <w:tcW w:type="dxa" w:w="1600"/>
            <w:tcMar>
              <w:top w:type="dxa" w:w="80"/>
              <w:left w:type="dxa" w:w="100"/>
              <w:bottom w:type="dxa" w:w="80"/>
              <w:right w:type="dxa" w:w="100"/>
            </w:tcMar>
          </w:tcPr>
          <w:p>
            <w:r>
              <w:rPr>
                <w:b w:val="false"/>
                <w:bCs w:val="false"/>
                <w:color w:val="000000"/>
                <w:sz w:val="18"/>
                <w:szCs w:val="18"/>
              </w:rPr>
              <w:t xml:space="preserve">₹1,35,000</w:t>
            </w:r>
          </w:p>
        </w:tc>
        <w:tc>
          <w:tcPr>
            <w:tcW w:type="dxa" w:w="1200"/>
            <w:tcMar>
              <w:top w:type="dxa" w:w="80"/>
              <w:left w:type="dxa" w:w="100"/>
              <w:bottom w:type="dxa" w:w="80"/>
              <w:right w:type="dxa" w:w="100"/>
            </w:tcMar>
          </w:tcPr>
          <w:p>
            <w:r>
              <w:rPr>
                <w:b w:val="false"/>
                <w:bCs w:val="false"/>
                <w:color w:val="000000"/>
                <w:sz w:val="18"/>
                <w:szCs w:val="18"/>
              </w:rPr>
              <w:t xml:space="preserve">15%</w:t>
            </w:r>
          </w:p>
        </w:tc>
        <w:tc>
          <w:tcPr>
            <w:tcW w:type="dxa" w:w="2900"/>
            <w:tcMar>
              <w:top w:type="dxa" w:w="80"/>
              <w:left w:type="dxa" w:w="100"/>
              <w:bottom w:type="dxa" w:w="80"/>
              <w:right w:type="dxa" w:w="100"/>
            </w:tcMar>
          </w:tcPr>
          <w:p>
            <w:r>
              <w:rPr>
                <w:b w:val="false"/>
                <w:bCs w:val="false"/>
                <w:color w:val="000000"/>
                <w:sz w:val="18"/>
                <w:szCs w:val="18"/>
              </w:rPr>
              <w:t xml:space="preserve">Includes producing the CA/notary-witnessed draw broadcast</w:t>
            </w:r>
          </w:p>
        </w:tc>
      </w:tr>
      <w:tr>
        <w:tc>
          <w:tcPr>
            <w:tcW w:type="dxa" w:w="3800"/>
            <w:tcMar>
              <w:top w:type="dxa" w:w="80"/>
              <w:left w:type="dxa" w:w="100"/>
              <w:bottom w:type="dxa" w:w="80"/>
              <w:right w:type="dxa" w:w="100"/>
            </w:tcMar>
          </w:tcPr>
          <w:p>
            <w:r>
              <w:rPr>
                <w:b w:val="false"/>
                <w:bCs w:val="false"/>
                <w:color w:val="000000"/>
                <w:sz w:val="18"/>
                <w:szCs w:val="18"/>
              </w:rPr>
              <w:t xml:space="preserve">Contingency / testing / mid-campaign optimisation buffer</w:t>
            </w:r>
          </w:p>
        </w:tc>
        <w:tc>
          <w:tcPr>
            <w:tcW w:type="dxa" w:w="1600"/>
            <w:tcMar>
              <w:top w:type="dxa" w:w="80"/>
              <w:left w:type="dxa" w:w="100"/>
              <w:bottom w:type="dxa" w:w="80"/>
              <w:right w:type="dxa" w:w="100"/>
            </w:tcMar>
          </w:tcPr>
          <w:p>
            <w:r>
              <w:rPr>
                <w:b w:val="false"/>
                <w:bCs w:val="false"/>
                <w:color w:val="000000"/>
                <w:sz w:val="18"/>
                <w:szCs w:val="18"/>
              </w:rPr>
              <w:t xml:space="preserve">₹90,000</w:t>
            </w:r>
          </w:p>
        </w:tc>
        <w:tc>
          <w:tcPr>
            <w:tcW w:type="dxa" w:w="1200"/>
            <w:tcMar>
              <w:top w:type="dxa" w:w="80"/>
              <w:left w:type="dxa" w:w="100"/>
              <w:bottom w:type="dxa" w:w="80"/>
              <w:right w:type="dxa" w:w="100"/>
            </w:tcMar>
          </w:tcPr>
          <w:p>
            <w:r>
              <w:rPr>
                <w:b w:val="false"/>
                <w:bCs w:val="false"/>
                <w:color w:val="000000"/>
                <w:sz w:val="18"/>
                <w:szCs w:val="18"/>
              </w:rPr>
              <w:t xml:space="preserve">10%</w:t>
            </w:r>
          </w:p>
        </w:tc>
        <w:tc>
          <w:tcPr>
            <w:tcW w:type="dxa" w:w="2900"/>
            <w:tcMar>
              <w:top w:type="dxa" w:w="80"/>
              <w:left w:type="dxa" w:w="100"/>
              <w:bottom w:type="dxa" w:w="80"/>
              <w:right w:type="dxa" w:w="100"/>
            </w:tcMar>
          </w:tcPr>
          <w:p>
            <w:r>
              <w:rPr>
                <w:b w:val="false"/>
                <w:bCs w:val="false"/>
                <w:color w:val="000000"/>
                <w:sz w:val="18"/>
                <w:szCs w:val="18"/>
              </w:rPr>
              <w:t xml:space="preserve">For reallocating budget toward whichever channel/creative is converting best once real data comes in</w:t>
            </w:r>
          </w:p>
        </w:tc>
      </w:tr>
    </w:tbl>
    <w:p>
      <w:pPr>
        <w:shd w:fill="F4EBD0" w:val="clear"/>
        <w:spacing w:after="200" w:before="100"/>
      </w:pPr>
      <w:r>
        <w:rPr>
          <w:i/>
          <w:iCs/>
          <w:color w:val="5C1A1A"/>
          <w:sz w:val="20"/>
          <w:szCs w:val="20"/>
        </w:rPr>
        <w:t xml:space="preserve">⚠ These are illustrative planning splits, not a media-buying commitment — confirm actual channel performance benchmarks with whoever manages your Instagram ad account, and revisit the split after the first 3–4 weeks of real data.</w:t>
      </w:r>
    </w:p>
    <w:p>
      <w:pPr>
        <w:pStyle w:val="Heading1"/>
        <w:pBdr>
          <w:bottom w:val="single" w:color="9C7A2E" w:sz="8" w:space="4"/>
        </w:pBdr>
        <w:spacing w:after="160" w:before="320"/>
      </w:pPr>
      <w:r>
        <w:rPr>
          <w:b/>
          <w:bCs/>
          <w:color w:val="5C1A1A"/>
          <w:sz w:val="28"/>
          <w:szCs w:val="28"/>
        </w:rPr>
        <w:t xml:space="preserve">13. Full Step-by-Step Timeline (12 Sep – 31 Dec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5C1A1A" w:val="clear"/>
            <w:tcMar>
              <w:top w:type="dxa" w:w="80"/>
              <w:left w:type="dxa" w:w="100"/>
              <w:bottom w:type="dxa" w:w="80"/>
              <w:right w:type="dxa" w:w="100"/>
            </w:tcMar>
          </w:tcPr>
          <w:p>
            <w:r>
              <w:rPr>
                <w:b/>
                <w:bCs/>
                <w:color w:val="FFFFFF"/>
                <w:sz w:val="18"/>
                <w:szCs w:val="18"/>
              </w:rPr>
              <w:t xml:space="preserve">Phase</w:t>
            </w:r>
          </w:p>
        </w:tc>
        <w:tc>
          <w:tcPr>
            <w:tcW w:type="dxa" w:w="1900"/>
            <w:shd w:fill="5C1A1A" w:val="clear"/>
            <w:tcMar>
              <w:top w:type="dxa" w:w="80"/>
              <w:left w:type="dxa" w:w="100"/>
              <w:bottom w:type="dxa" w:w="80"/>
              <w:right w:type="dxa" w:w="100"/>
            </w:tcMar>
          </w:tcPr>
          <w:p>
            <w:r>
              <w:rPr>
                <w:b/>
                <w:bCs/>
                <w:color w:val="FFFFFF"/>
                <w:sz w:val="18"/>
                <w:szCs w:val="18"/>
              </w:rPr>
              <w:t xml:space="preserve">Dates</w:t>
            </w:r>
          </w:p>
        </w:tc>
        <w:tc>
          <w:tcPr>
            <w:tcW w:type="dxa" w:w="4700"/>
            <w:shd w:fill="5C1A1A" w:val="clear"/>
            <w:tcMar>
              <w:top w:type="dxa" w:w="80"/>
              <w:left w:type="dxa" w:w="100"/>
              <w:bottom w:type="dxa" w:w="80"/>
              <w:right w:type="dxa" w:w="100"/>
            </w:tcMar>
          </w:tcPr>
          <w:p>
            <w:r>
              <w:rPr>
                <w:b/>
                <w:bCs/>
                <w:color w:val="FFFFFF"/>
                <w:sz w:val="18"/>
                <w:szCs w:val="18"/>
              </w:rPr>
              <w:t xml:space="preserve">Key milestones</w:t>
            </w:r>
          </w:p>
        </w:tc>
      </w:tr>
      <w:tr>
        <w:tc>
          <w:tcPr>
            <w:tcW w:type="dxa" w:w="2400"/>
            <w:tcMar>
              <w:top w:type="dxa" w:w="80"/>
              <w:left w:type="dxa" w:w="100"/>
              <w:bottom w:type="dxa" w:w="80"/>
              <w:right w:type="dxa" w:w="100"/>
            </w:tcMar>
          </w:tcPr>
          <w:p>
            <w:r>
              <w:rPr>
                <w:b w:val="false"/>
                <w:bCs w:val="false"/>
                <w:color w:val="000000"/>
                <w:sz w:val="18"/>
                <w:szCs w:val="18"/>
              </w:rPr>
              <w:t xml:space="preserve">1. Legal, Tax &amp; Governance Foundation</w:t>
            </w:r>
          </w:p>
        </w:tc>
        <w:tc>
          <w:tcPr>
            <w:tcW w:type="dxa" w:w="1900"/>
            <w:tcMar>
              <w:top w:type="dxa" w:w="80"/>
              <w:left w:type="dxa" w:w="100"/>
              <w:bottom w:type="dxa" w:w="80"/>
              <w:right w:type="dxa" w:w="100"/>
            </w:tcMar>
          </w:tcPr>
          <w:p>
            <w:r>
              <w:rPr>
                <w:b w:val="false"/>
                <w:bCs w:val="false"/>
                <w:color w:val="000000"/>
                <w:sz w:val="18"/>
                <w:szCs w:val="18"/>
              </w:rPr>
              <w:t xml:space="preserve">12–30 Sep 2026</w:t>
            </w:r>
          </w:p>
        </w:tc>
        <w:tc>
          <w:tcPr>
            <w:tcW w:type="dxa" w:w="4700"/>
            <w:tcMar>
              <w:top w:type="dxa" w:w="80"/>
              <w:left w:type="dxa" w:w="100"/>
              <w:bottom w:type="dxa" w:w="80"/>
              <w:right w:type="dxa" w:w="100"/>
            </w:tcMar>
          </w:tcPr>
          <w:p>
            <w:r>
              <w:rPr>
                <w:b w:val="false"/>
                <w:bCs w:val="false"/>
                <w:color w:val="000000"/>
                <w:sz w:val="18"/>
                <w:szCs w:val="18"/>
              </w:rPr>
              <w:t xml:space="preserve">Lawyer engaged; mechanic redesigned (skill contest + free-entry route); T&amp;C drafted; CA engaged for GST/TDS structuring opinion; board resolution passed authorising scheme and ₹9L budget; grievance officer appointed; privacy policy drafted; manufacturer agreement template prepared and outreach to the 200 manufacturers begins</w:t>
            </w:r>
          </w:p>
        </w:tc>
      </w:tr>
      <w:tr>
        <w:tc>
          <w:tcPr>
            <w:tcW w:type="dxa" w:w="2400"/>
            <w:tcMar>
              <w:top w:type="dxa" w:w="80"/>
              <w:left w:type="dxa" w:w="100"/>
              <w:bottom w:type="dxa" w:w="80"/>
              <w:right w:type="dxa" w:w="100"/>
            </w:tcMar>
          </w:tcPr>
          <w:p>
            <w:r>
              <w:rPr>
                <w:b w:val="false"/>
                <w:bCs w:val="false"/>
                <w:color w:val="000000"/>
                <w:sz w:val="18"/>
                <w:szCs w:val="18"/>
              </w:rPr>
              <w:t xml:space="preserve">2. Website &amp; Catalog Build</w:t>
            </w:r>
          </w:p>
        </w:tc>
        <w:tc>
          <w:tcPr>
            <w:tcW w:type="dxa" w:w="1900"/>
            <w:tcMar>
              <w:top w:type="dxa" w:w="80"/>
              <w:left w:type="dxa" w:w="100"/>
              <w:bottom w:type="dxa" w:w="80"/>
              <w:right w:type="dxa" w:w="100"/>
            </w:tcMar>
          </w:tcPr>
          <w:p>
            <w:r>
              <w:rPr>
                <w:b w:val="false"/>
                <w:bCs w:val="false"/>
                <w:color w:val="000000"/>
                <w:sz w:val="18"/>
                <w:szCs w:val="18"/>
              </w:rPr>
              <w:t xml:space="preserve">1 Oct – 15 Nov 2026</w:t>
            </w:r>
          </w:p>
        </w:tc>
        <w:tc>
          <w:tcPr>
            <w:tcW w:type="dxa" w:w="4700"/>
            <w:tcMar>
              <w:top w:type="dxa" w:w="80"/>
              <w:left w:type="dxa" w:w="100"/>
              <w:bottom w:type="dxa" w:w="80"/>
              <w:right w:type="dxa" w:w="100"/>
            </w:tcMar>
          </w:tcPr>
          <w:p>
            <w:r>
              <w:rPr>
                <w:b w:val="false"/>
                <w:bCs w:val="false"/>
                <w:color w:val="000000"/>
                <w:sz w:val="18"/>
                <w:szCs w:val="18"/>
              </w:rPr>
              <w:t xml:space="preserve">Manufacturer catalogs integrated in batches with hallmarking/purity checks per batch; Gemini chatbot built and tested; e-commerce compliance pages published (returns, seller info, pricing breakup, grievance officer); checkout, quiz engine, and free-entry form built and tested end-to-end; legal opinion finalised and signed before any public claim</w:t>
            </w:r>
          </w:p>
        </w:tc>
      </w:tr>
      <w:tr>
        <w:tc>
          <w:tcPr>
            <w:tcW w:type="dxa" w:w="2400"/>
            <w:tcMar>
              <w:top w:type="dxa" w:w="80"/>
              <w:left w:type="dxa" w:w="100"/>
              <w:bottom w:type="dxa" w:w="80"/>
              <w:right w:type="dxa" w:w="100"/>
            </w:tcMar>
          </w:tcPr>
          <w:p>
            <w:r>
              <w:rPr>
                <w:b w:val="false"/>
                <w:bCs w:val="false"/>
                <w:color w:val="000000"/>
                <w:sz w:val="18"/>
                <w:szCs w:val="18"/>
              </w:rPr>
              <w:t xml:space="preserve">3. Pre-Launch Teaser (Marketing Month 1)</w:t>
            </w:r>
          </w:p>
        </w:tc>
        <w:tc>
          <w:tcPr>
            <w:tcW w:type="dxa" w:w="1900"/>
            <w:tcMar>
              <w:top w:type="dxa" w:w="80"/>
              <w:left w:type="dxa" w:w="100"/>
              <w:bottom w:type="dxa" w:w="80"/>
              <w:right w:type="dxa" w:w="100"/>
            </w:tcMar>
          </w:tcPr>
          <w:p>
            <w:r>
              <w:rPr>
                <w:b w:val="false"/>
                <w:bCs w:val="false"/>
                <w:color w:val="000000"/>
                <w:sz w:val="18"/>
                <w:szCs w:val="18"/>
              </w:rPr>
              <w:t xml:space="preserve">16–31 Oct 2026</w:t>
            </w:r>
          </w:p>
        </w:tc>
        <w:tc>
          <w:tcPr>
            <w:tcW w:type="dxa" w:w="4700"/>
            <w:tcMar>
              <w:top w:type="dxa" w:w="80"/>
              <w:left w:type="dxa" w:w="100"/>
              <w:bottom w:type="dxa" w:w="80"/>
              <w:right w:type="dxa" w:w="100"/>
            </w:tcMar>
          </w:tcPr>
          <w:p>
            <w:r>
              <w:rPr>
                <w:b w:val="false"/>
                <w:bCs w:val="false"/>
                <w:color w:val="000000"/>
                <w:sz w:val="18"/>
                <w:szCs w:val="18"/>
              </w:rPr>
              <w:t xml:space="preserve">Teaser content on Instagram (catalog reveal, anticipation-building, no lottery-sensitive claims yet); soft-launch/UAT of the site with limited traffic; retargeting pool building begins</w:t>
            </w:r>
          </w:p>
        </w:tc>
      </w:tr>
      <w:tr>
        <w:tc>
          <w:tcPr>
            <w:tcW w:type="dxa" w:w="2400"/>
            <w:tcMar>
              <w:top w:type="dxa" w:w="80"/>
              <w:left w:type="dxa" w:w="100"/>
              <w:bottom w:type="dxa" w:w="80"/>
              <w:right w:type="dxa" w:w="100"/>
            </w:tcMar>
          </w:tcPr>
          <w:p>
            <w:r>
              <w:rPr>
                <w:b w:val="false"/>
                <w:bCs w:val="false"/>
                <w:color w:val="000000"/>
                <w:sz w:val="18"/>
                <w:szCs w:val="18"/>
              </w:rPr>
              <w:t xml:space="preserve">4. Public Campaign Launch &amp; Purchase Window (Marketing Months 2–3 begin)</w:t>
            </w:r>
          </w:p>
        </w:tc>
        <w:tc>
          <w:tcPr>
            <w:tcW w:type="dxa" w:w="1900"/>
            <w:tcMar>
              <w:top w:type="dxa" w:w="80"/>
              <w:left w:type="dxa" w:w="100"/>
              <w:bottom w:type="dxa" w:w="80"/>
              <w:right w:type="dxa" w:w="100"/>
            </w:tcMar>
          </w:tcPr>
          <w:p>
            <w:r>
              <w:rPr>
                <w:b w:val="false"/>
                <w:bCs w:val="false"/>
                <w:color w:val="000000"/>
                <w:sz w:val="18"/>
                <w:szCs w:val="18"/>
              </w:rPr>
              <w:t xml:space="preserve">1 Nov – 15 Dec 2026</w:t>
            </w:r>
          </w:p>
        </w:tc>
        <w:tc>
          <w:tcPr>
            <w:tcW w:type="dxa" w:w="4700"/>
            <w:tcMar>
              <w:top w:type="dxa" w:w="80"/>
              <w:left w:type="dxa" w:w="100"/>
              <w:bottom w:type="dxa" w:w="80"/>
              <w:right w:type="dxa" w:w="100"/>
            </w:tcMar>
          </w:tcPr>
          <w:p>
            <w:r>
              <w:rPr>
                <w:b w:val="false"/>
                <w:bCs w:val="false"/>
                <w:color w:val="000000"/>
                <w:sz w:val="18"/>
                <w:szCs w:val="18"/>
              </w:rPr>
              <w:t xml:space="preserve">Public Instagram Live campaign launch with reworded, compliant messaging and full T&amp;C stated; purchase + quiz + free-entry window open; paid ads, boosted Lives, and influencer collaborations run at peak weight; weekly compliance/ops check-ins on grievance log, refund SLAs, and ad wording</w:t>
            </w:r>
          </w:p>
        </w:tc>
      </w:tr>
      <w:tr>
        <w:tc>
          <w:tcPr>
            <w:tcW w:type="dxa" w:w="2400"/>
            <w:tcMar>
              <w:top w:type="dxa" w:w="80"/>
              <w:left w:type="dxa" w:w="100"/>
              <w:bottom w:type="dxa" w:w="80"/>
              <w:right w:type="dxa" w:w="100"/>
            </w:tcMar>
          </w:tcPr>
          <w:p>
            <w:r>
              <w:rPr>
                <w:b w:val="false"/>
                <w:bCs w:val="false"/>
                <w:color w:val="000000"/>
                <w:sz w:val="18"/>
                <w:szCs w:val="18"/>
              </w:rPr>
              <w:t xml:space="preserve">5. Entry Close &amp; Finalist Verification</w:t>
            </w:r>
          </w:p>
        </w:tc>
        <w:tc>
          <w:tcPr>
            <w:tcW w:type="dxa" w:w="1900"/>
            <w:tcMar>
              <w:top w:type="dxa" w:w="80"/>
              <w:left w:type="dxa" w:w="100"/>
              <w:bottom w:type="dxa" w:w="80"/>
              <w:right w:type="dxa" w:w="100"/>
            </w:tcMar>
          </w:tcPr>
          <w:p>
            <w:r>
              <w:rPr>
                <w:b w:val="false"/>
                <w:bCs w:val="false"/>
                <w:color w:val="000000"/>
                <w:sz w:val="18"/>
                <w:szCs w:val="18"/>
              </w:rPr>
              <w:t xml:space="preserve">16–28 Dec 2026</w:t>
            </w:r>
          </w:p>
        </w:tc>
        <w:tc>
          <w:tcPr>
            <w:tcW w:type="dxa" w:w="4700"/>
            <w:tcMar>
              <w:top w:type="dxa" w:w="80"/>
              <w:left w:type="dxa" w:w="100"/>
              <w:bottom w:type="dxa" w:w="80"/>
              <w:right w:type="dxa" w:w="100"/>
            </w:tcMar>
          </w:tcPr>
          <w:p>
            <w:r>
              <w:rPr>
                <w:b w:val="false"/>
                <w:bCs w:val="false"/>
                <w:color w:val="000000"/>
                <w:sz w:val="18"/>
                <w:szCs w:val="18"/>
              </w:rPr>
              <w:t xml:space="preserve">Entries close; quiz scoring/judging finalised; shortlist of finalists identified; KYC/PAN collected from finalists for TDS purposes; final rehearsal of the live-draw process with CA/notary witness arranged</w:t>
            </w:r>
          </w:p>
        </w:tc>
      </w:tr>
      <w:tr>
        <w:tc>
          <w:tcPr>
            <w:tcW w:type="dxa" w:w="2400"/>
            <w:tcMar>
              <w:top w:type="dxa" w:w="80"/>
              <w:left w:type="dxa" w:w="100"/>
              <w:bottom w:type="dxa" w:w="80"/>
              <w:right w:type="dxa" w:w="100"/>
            </w:tcMar>
          </w:tcPr>
          <w:p>
            <w:r>
              <w:rPr>
                <w:b w:val="false"/>
                <w:bCs w:val="false"/>
                <w:color w:val="000000"/>
                <w:sz w:val="18"/>
                <w:szCs w:val="18"/>
              </w:rPr>
              <w:t xml:space="preserve">6. Live Draw &amp; Announcement</w:t>
            </w:r>
          </w:p>
        </w:tc>
        <w:tc>
          <w:tcPr>
            <w:tcW w:type="dxa" w:w="1900"/>
            <w:tcMar>
              <w:top w:type="dxa" w:w="80"/>
              <w:left w:type="dxa" w:w="100"/>
              <w:bottom w:type="dxa" w:w="80"/>
              <w:right w:type="dxa" w:w="100"/>
            </w:tcMar>
          </w:tcPr>
          <w:p>
            <w:r>
              <w:rPr>
                <w:b w:val="false"/>
                <w:bCs w:val="false"/>
                <w:color w:val="000000"/>
                <w:sz w:val="18"/>
                <w:szCs w:val="18"/>
              </w:rPr>
              <w:t xml:space="preserve">31 Dec 2026</w:t>
            </w:r>
          </w:p>
        </w:tc>
        <w:tc>
          <w:tcPr>
            <w:tcW w:type="dxa" w:w="4700"/>
            <w:tcMar>
              <w:top w:type="dxa" w:w="80"/>
              <w:left w:type="dxa" w:w="100"/>
              <w:bottom w:type="dxa" w:w="80"/>
              <w:right w:type="dxa" w:w="100"/>
            </w:tcMar>
          </w:tcPr>
          <w:p>
            <w:r>
              <w:rPr>
                <w:b w:val="false"/>
                <w:bCs w:val="false"/>
                <w:color w:val="000000"/>
                <w:sz w:val="18"/>
                <w:szCs w:val="18"/>
              </w:rPr>
              <w:t xml:space="preserve">CA/notary-witnessed live draw broadcast on Instagram Live; winner announced; tax position (Scenario A or B) explained transparently on-camera; immediate social/press content</w:t>
            </w:r>
          </w:p>
        </w:tc>
      </w:tr>
      <w:tr>
        <w:tc>
          <w:tcPr>
            <w:tcW w:type="dxa" w:w="2400"/>
            <w:tcMar>
              <w:top w:type="dxa" w:w="80"/>
              <w:left w:type="dxa" w:w="100"/>
              <w:bottom w:type="dxa" w:w="80"/>
              <w:right w:type="dxa" w:w="100"/>
            </w:tcMar>
          </w:tcPr>
          <w:p>
            <w:r>
              <w:rPr>
                <w:b w:val="false"/>
                <w:bCs w:val="false"/>
                <w:color w:val="000000"/>
                <w:sz w:val="18"/>
                <w:szCs w:val="18"/>
              </w:rPr>
              <w:t xml:space="preserve">7. Prize Hand-over &amp; Wrap-up</w:t>
            </w:r>
          </w:p>
        </w:tc>
        <w:tc>
          <w:tcPr>
            <w:tcW w:type="dxa" w:w="1900"/>
            <w:tcMar>
              <w:top w:type="dxa" w:w="80"/>
              <w:left w:type="dxa" w:w="100"/>
              <w:bottom w:type="dxa" w:w="80"/>
              <w:right w:type="dxa" w:w="100"/>
            </w:tcMar>
          </w:tcPr>
          <w:p>
            <w:r>
              <w:rPr>
                <w:b w:val="false"/>
                <w:bCs w:val="false"/>
                <w:color w:val="000000"/>
                <w:sz w:val="18"/>
                <w:szCs w:val="18"/>
              </w:rPr>
              <w:t xml:space="preserve">1–20 Jan 2027</w:t>
            </w:r>
          </w:p>
        </w:tc>
        <w:tc>
          <w:tcPr>
            <w:tcW w:type="dxa" w:w="4700"/>
            <w:tcMar>
              <w:top w:type="dxa" w:w="80"/>
              <w:left w:type="dxa" w:w="100"/>
              <w:bottom w:type="dxa" w:w="80"/>
              <w:right w:type="dxa" w:w="100"/>
            </w:tcMar>
          </w:tcPr>
          <w:p>
            <w:r>
              <w:rPr>
                <w:b w:val="false"/>
                <w:bCs w:val="false"/>
                <w:color w:val="000000"/>
                <w:sz w:val="18"/>
                <w:szCs w:val="18"/>
              </w:rPr>
              <w:t xml:space="preserve">TDS collection/remittance and PAN-based documentation completed; insured physical hand-over of the gold biscuit; post-campaign report to the financer covering reach, new customers acquired, sales generated, and actual cost vs. budget</w:t>
            </w:r>
          </w:p>
        </w:tc>
      </w:tr>
    </w:tbl>
    <w:p>
      <w:r>
        <w:br w:type="page"/>
      </w:r>
    </w:p>
    <w:p>
      <w:pPr>
        <w:pStyle w:val="Heading1"/>
        <w:pBdr>
          <w:bottom w:val="single" w:color="9C7A2E" w:sz="8" w:space="4"/>
        </w:pBdr>
        <w:spacing w:after="160" w:before="320"/>
      </w:pPr>
      <w:r>
        <w:rPr>
          <w:b/>
          <w:bCs/>
          <w:color w:val="5C1A1A"/>
          <w:sz w:val="28"/>
          <w:szCs w:val="28"/>
        </w:rPr>
        <w:t xml:space="preserve">14. Total Estimated Campaign Investment</w:t>
      </w:r>
    </w:p>
    <w:p>
      <w:pPr>
        <w:spacing w:after="120"/>
      </w:pPr>
      <w:r>
        <w:rPr>
          <w:sz w:val="21"/>
          <w:szCs w:val="21"/>
        </w:rPr>
        <w:t xml:space="preserve">Illustrative planning figures only — confirm exact numbers with your CA and lawyer before finalising the budget you present to the financer.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300"/>
      </w:tblGrid>
      <w:tr>
        <w:tc>
          <w:tcPr>
            <w:tcW w:type="dxa" w:w="3000"/>
            <w:shd w:fill="5C1A1A" w:val="clear"/>
            <w:tcMar>
              <w:top w:type="dxa" w:w="80"/>
              <w:left w:type="dxa" w:w="100"/>
              <w:bottom w:type="dxa" w:w="80"/>
              <w:right w:type="dxa" w:w="100"/>
            </w:tcMar>
          </w:tcPr>
          <w:p>
            <w:r>
              <w:rPr>
                <w:b/>
                <w:bCs/>
                <w:color w:val="FFFFFF"/>
                <w:sz w:val="18"/>
                <w:szCs w:val="18"/>
              </w:rPr>
              <w:t xml:space="preserve">Cost head</w:t>
            </w:r>
          </w:p>
        </w:tc>
        <w:tc>
          <w:tcPr>
            <w:tcW w:type="dxa" w:w="3200"/>
            <w:shd w:fill="5C1A1A" w:val="clear"/>
            <w:tcMar>
              <w:top w:type="dxa" w:w="80"/>
              <w:left w:type="dxa" w:w="100"/>
              <w:bottom w:type="dxa" w:w="80"/>
              <w:right w:type="dxa" w:w="100"/>
            </w:tcMar>
          </w:tcPr>
          <w:p>
            <w:r>
              <w:rPr>
                <w:b/>
                <w:bCs/>
                <w:color w:val="FFFFFF"/>
                <w:sz w:val="18"/>
                <w:szCs w:val="18"/>
              </w:rPr>
              <w:t xml:space="preserve">Illustrative range</w:t>
            </w:r>
          </w:p>
        </w:tc>
        <w:tc>
          <w:tcPr>
            <w:tcW w:type="dxa" w:w="3300"/>
            <w:shd w:fill="5C1A1A" w:val="clear"/>
            <w:tcMar>
              <w:top w:type="dxa" w:w="80"/>
              <w:left w:type="dxa" w:w="100"/>
              <w:bottom w:type="dxa" w:w="80"/>
              <w:right w:type="dxa" w:w="100"/>
            </w:tcMar>
          </w:tcPr>
          <w:p>
            <w:r>
              <w:rPr>
                <w:b/>
                <w:bCs/>
                <w:color w:val="FFFFFF"/>
                <w:sz w:val="18"/>
                <w:szCs w:val="18"/>
              </w:rPr>
              <w:t xml:space="preserve">Notes</w:t>
            </w:r>
          </w:p>
        </w:tc>
      </w:tr>
      <w:tr>
        <w:tc>
          <w:tcPr>
            <w:tcW w:type="dxa" w:w="3000"/>
            <w:tcMar>
              <w:top w:type="dxa" w:w="80"/>
              <w:left w:type="dxa" w:w="100"/>
              <w:bottom w:type="dxa" w:w="80"/>
              <w:right w:type="dxa" w:w="100"/>
            </w:tcMar>
          </w:tcPr>
          <w:p>
            <w:r>
              <w:rPr>
                <w:b w:val="false"/>
                <w:bCs w:val="false"/>
                <w:color w:val="000000"/>
                <w:sz w:val="18"/>
                <w:szCs w:val="18"/>
              </w:rPr>
              <w:t xml:space="preserve">Gold prize (100g)</w:t>
            </w:r>
          </w:p>
        </w:tc>
        <w:tc>
          <w:tcPr>
            <w:tcW w:type="dxa" w:w="3200"/>
            <w:tcMar>
              <w:top w:type="dxa" w:w="80"/>
              <w:left w:type="dxa" w:w="100"/>
              <w:bottom w:type="dxa" w:w="80"/>
              <w:right w:type="dxa" w:w="100"/>
            </w:tcMar>
          </w:tcPr>
          <w:p>
            <w:r>
              <w:rPr>
                <w:b w:val="false"/>
                <w:bCs w:val="false"/>
                <w:color w:val="000000"/>
                <w:sz w:val="18"/>
                <w:szCs w:val="18"/>
              </w:rPr>
              <w:t xml:space="preserve">₹15,00,000 – ₹17,00,000+</w:t>
            </w:r>
          </w:p>
        </w:tc>
        <w:tc>
          <w:tcPr>
            <w:tcW w:type="dxa" w:w="3300"/>
            <w:tcMar>
              <w:top w:type="dxa" w:w="80"/>
              <w:left w:type="dxa" w:w="100"/>
              <w:bottom w:type="dxa" w:w="80"/>
              <w:right w:type="dxa" w:w="100"/>
            </w:tcMar>
          </w:tcPr>
          <w:p>
            <w:r>
              <w:rPr>
                <w:b w:val="false"/>
                <w:bCs w:val="false"/>
                <w:color w:val="000000"/>
                <w:sz w:val="18"/>
                <w:szCs w:val="18"/>
              </w:rPr>
              <w:t xml:space="preserve">Value at announcement vs. likely value by 31 Dec 2026 if gold prices rise through the festive season — buy closer to the draw date or hedge the exposure if possible</w:t>
            </w:r>
          </w:p>
        </w:tc>
      </w:tr>
      <w:tr>
        <w:tc>
          <w:tcPr>
            <w:tcW w:type="dxa" w:w="3000"/>
            <w:tcMar>
              <w:top w:type="dxa" w:w="80"/>
              <w:left w:type="dxa" w:w="100"/>
              <w:bottom w:type="dxa" w:w="80"/>
              <w:right w:type="dxa" w:w="100"/>
            </w:tcMar>
          </w:tcPr>
          <w:p>
            <w:r>
              <w:rPr>
                <w:b w:val="false"/>
                <w:bCs w:val="false"/>
                <w:color w:val="000000"/>
                <w:sz w:val="18"/>
                <w:szCs w:val="18"/>
              </w:rPr>
              <w:t xml:space="preserve">Marketing budget</w:t>
            </w:r>
          </w:p>
        </w:tc>
        <w:tc>
          <w:tcPr>
            <w:tcW w:type="dxa" w:w="3200"/>
            <w:tcMar>
              <w:top w:type="dxa" w:w="80"/>
              <w:left w:type="dxa" w:w="100"/>
              <w:bottom w:type="dxa" w:w="80"/>
              <w:right w:type="dxa" w:w="100"/>
            </w:tcMar>
          </w:tcPr>
          <w:p>
            <w:r>
              <w:rPr>
                <w:b w:val="false"/>
                <w:bCs w:val="false"/>
                <w:color w:val="000000"/>
                <w:sz w:val="18"/>
                <w:szCs w:val="18"/>
              </w:rPr>
              <w:t xml:space="preserve">₹9,00,000</w:t>
            </w:r>
          </w:p>
        </w:tc>
        <w:tc>
          <w:tcPr>
            <w:tcW w:type="dxa" w:w="3300"/>
            <w:tcMar>
              <w:top w:type="dxa" w:w="80"/>
              <w:left w:type="dxa" w:w="100"/>
              <w:bottom w:type="dxa" w:w="80"/>
              <w:right w:type="dxa" w:w="100"/>
            </w:tcMar>
          </w:tcPr>
          <w:p>
            <w:r>
              <w:rPr>
                <w:b w:val="false"/>
                <w:bCs w:val="false"/>
                <w:color w:val="000000"/>
                <w:sz w:val="18"/>
                <w:szCs w:val="18"/>
              </w:rPr>
              <w:t xml:space="preserve">Fixed, per Section 12</w:t>
            </w:r>
          </w:p>
        </w:tc>
      </w:tr>
      <w:tr>
        <w:tc>
          <w:tcPr>
            <w:tcW w:type="dxa" w:w="3000"/>
            <w:tcMar>
              <w:top w:type="dxa" w:w="80"/>
              <w:left w:type="dxa" w:w="100"/>
              <w:bottom w:type="dxa" w:w="80"/>
              <w:right w:type="dxa" w:w="100"/>
            </w:tcMar>
          </w:tcPr>
          <w:p>
            <w:r>
              <w:rPr>
                <w:b w:val="false"/>
                <w:bCs w:val="false"/>
                <w:color w:val="000000"/>
                <w:sz w:val="18"/>
                <w:szCs w:val="18"/>
              </w:rPr>
              <w:t xml:space="preserve">Legal fees (mechanic redesign, T&amp;C, ongoing advisory)</w:t>
            </w:r>
          </w:p>
        </w:tc>
        <w:tc>
          <w:tcPr>
            <w:tcW w:type="dxa" w:w="3200"/>
            <w:tcMar>
              <w:top w:type="dxa" w:w="80"/>
              <w:left w:type="dxa" w:w="100"/>
              <w:bottom w:type="dxa" w:w="80"/>
              <w:right w:type="dxa" w:w="100"/>
            </w:tcMar>
          </w:tcPr>
          <w:p>
            <w:r>
              <w:rPr>
                <w:b w:val="false"/>
                <w:bCs w:val="false"/>
                <w:color w:val="000000"/>
                <w:sz w:val="18"/>
                <w:szCs w:val="18"/>
              </w:rPr>
              <w:t xml:space="preserve">₹75,000 – ₹1,50,000</w:t>
            </w:r>
          </w:p>
        </w:tc>
        <w:tc>
          <w:tcPr>
            <w:tcW w:type="dxa" w:w="3300"/>
            <w:tcMar>
              <w:top w:type="dxa" w:w="80"/>
              <w:left w:type="dxa" w:w="100"/>
              <w:bottom w:type="dxa" w:w="80"/>
              <w:right w:type="dxa" w:w="100"/>
            </w:tcMar>
          </w:tcPr>
          <w:p>
            <w:r>
              <w:rPr>
                <w:b w:val="false"/>
                <w:bCs w:val="false"/>
                <w:color w:val="000000"/>
                <w:sz w:val="18"/>
                <w:szCs w:val="18"/>
              </w:rPr>
              <w:t xml:space="preserve">One-time plus periodic review over 3.5 months</w:t>
            </w:r>
          </w:p>
        </w:tc>
      </w:tr>
      <w:tr>
        <w:tc>
          <w:tcPr>
            <w:tcW w:type="dxa" w:w="3000"/>
            <w:tcMar>
              <w:top w:type="dxa" w:w="80"/>
              <w:left w:type="dxa" w:w="100"/>
              <w:bottom w:type="dxa" w:w="80"/>
              <w:right w:type="dxa" w:w="100"/>
            </w:tcMar>
          </w:tcPr>
          <w:p>
            <w:r>
              <w:rPr>
                <w:b w:val="false"/>
                <w:bCs w:val="false"/>
                <w:color w:val="000000"/>
                <w:sz w:val="18"/>
                <w:szCs w:val="18"/>
              </w:rPr>
              <w:t xml:space="preserve">CA advisory (GST/TDS structuring, ongoing compliance)</w:t>
            </w:r>
          </w:p>
        </w:tc>
        <w:tc>
          <w:tcPr>
            <w:tcW w:type="dxa" w:w="3200"/>
            <w:tcMar>
              <w:top w:type="dxa" w:w="80"/>
              <w:left w:type="dxa" w:w="100"/>
              <w:bottom w:type="dxa" w:w="80"/>
              <w:right w:type="dxa" w:w="100"/>
            </w:tcMar>
          </w:tcPr>
          <w:p>
            <w:r>
              <w:rPr>
                <w:b w:val="false"/>
                <w:bCs w:val="false"/>
                <w:color w:val="000000"/>
                <w:sz w:val="18"/>
                <w:szCs w:val="18"/>
              </w:rPr>
              <w:t xml:space="preserve">₹40,000 – ₹80,000</w:t>
            </w:r>
          </w:p>
        </w:tc>
        <w:tc>
          <w:tcPr>
            <w:tcW w:type="dxa" w:w="3300"/>
            <w:tcMar>
              <w:top w:type="dxa" w:w="80"/>
              <w:left w:type="dxa" w:w="100"/>
              <w:bottom w:type="dxa" w:w="80"/>
              <w:right w:type="dxa" w:w="100"/>
            </w:tcMar>
          </w:tcPr>
          <w:p>
            <w:r>
              <w:rPr>
                <w:b w:val="false"/>
                <w:bCs w:val="false"/>
                <w:color w:val="000000"/>
                <w:sz w:val="18"/>
                <w:szCs w:val="18"/>
              </w:rPr>
              <w:t xml:space="preserve">Includes the TDS-scenario modelling in Section 3</w:t>
            </w:r>
          </w:p>
        </w:tc>
      </w:tr>
      <w:tr>
        <w:tc>
          <w:tcPr>
            <w:tcW w:type="dxa" w:w="3000"/>
            <w:tcMar>
              <w:top w:type="dxa" w:w="80"/>
              <w:left w:type="dxa" w:w="100"/>
              <w:bottom w:type="dxa" w:w="80"/>
              <w:right w:type="dxa" w:w="100"/>
            </w:tcMar>
          </w:tcPr>
          <w:p>
            <w:r>
              <w:rPr>
                <w:b w:val="false"/>
                <w:bCs w:val="false"/>
                <w:color w:val="000000"/>
                <w:sz w:val="18"/>
                <w:szCs w:val="18"/>
              </w:rPr>
              <w:t xml:space="preserve">Manufacturer onboarding/agreement administration</w:t>
            </w:r>
          </w:p>
        </w:tc>
        <w:tc>
          <w:tcPr>
            <w:tcW w:type="dxa" w:w="3200"/>
            <w:tcMar>
              <w:top w:type="dxa" w:w="80"/>
              <w:left w:type="dxa" w:w="100"/>
              <w:bottom w:type="dxa" w:w="80"/>
              <w:right w:type="dxa" w:w="100"/>
            </w:tcMar>
          </w:tcPr>
          <w:p>
            <w:r>
              <w:rPr>
                <w:b w:val="false"/>
                <w:bCs w:val="false"/>
                <w:color w:val="000000"/>
                <w:sz w:val="18"/>
                <w:szCs w:val="18"/>
              </w:rPr>
              <w:t xml:space="preserve">₹50,000 – ₹1,00,000</w:t>
            </w:r>
          </w:p>
        </w:tc>
        <w:tc>
          <w:tcPr>
            <w:tcW w:type="dxa" w:w="3300"/>
            <w:tcMar>
              <w:top w:type="dxa" w:w="80"/>
              <w:left w:type="dxa" w:w="100"/>
              <w:bottom w:type="dxa" w:w="80"/>
              <w:right w:type="dxa" w:w="100"/>
            </w:tcMar>
          </w:tcPr>
          <w:p>
            <w:r>
              <w:rPr>
                <w:b w:val="false"/>
                <w:bCs w:val="false"/>
                <w:color w:val="000000"/>
                <w:sz w:val="18"/>
                <w:szCs w:val="18"/>
              </w:rPr>
              <w:t xml:space="preserve">Across 200 manufacturers — templated agreement reduces per-manufacturer cost</w:t>
            </w:r>
          </w:p>
        </w:tc>
      </w:tr>
      <w:tr>
        <w:tc>
          <w:tcPr>
            <w:tcW w:type="dxa" w:w="3000"/>
            <w:tcMar>
              <w:top w:type="dxa" w:w="80"/>
              <w:left w:type="dxa" w:w="100"/>
              <w:bottom w:type="dxa" w:w="80"/>
              <w:right w:type="dxa" w:w="100"/>
            </w:tcMar>
          </w:tcPr>
          <w:p>
            <w:r>
              <w:rPr>
                <w:b w:val="false"/>
                <w:bCs w:val="false"/>
                <w:color w:val="000000"/>
                <w:sz w:val="18"/>
                <w:szCs w:val="18"/>
              </w:rPr>
              <w:t xml:space="preserve">Prize insurance (custody, ~3.5 months)</w:t>
            </w:r>
          </w:p>
        </w:tc>
        <w:tc>
          <w:tcPr>
            <w:tcW w:type="dxa" w:w="3200"/>
            <w:tcMar>
              <w:top w:type="dxa" w:w="80"/>
              <w:left w:type="dxa" w:w="100"/>
              <w:bottom w:type="dxa" w:w="80"/>
              <w:right w:type="dxa" w:w="100"/>
            </w:tcMar>
          </w:tcPr>
          <w:p>
            <w:r>
              <w:rPr>
                <w:b w:val="false"/>
                <w:bCs w:val="false"/>
                <w:color w:val="000000"/>
                <w:sz w:val="18"/>
                <w:szCs w:val="18"/>
              </w:rPr>
              <w:t xml:space="preserve">₹10,000 – ₹25,000</w:t>
            </w:r>
          </w:p>
        </w:tc>
        <w:tc>
          <w:tcPr>
            <w:tcW w:type="dxa" w:w="3300"/>
            <w:tcMar>
              <w:top w:type="dxa" w:w="80"/>
              <w:left w:type="dxa" w:w="100"/>
              <w:bottom w:type="dxa" w:w="80"/>
              <w:right w:type="dxa" w:w="100"/>
            </w:tcMar>
          </w:tcPr>
          <w:p>
            <w:r>
              <w:rPr>
                <w:b w:val="false"/>
                <w:bCs w:val="false"/>
                <w:color w:val="000000"/>
                <w:sz w:val="18"/>
                <w:szCs w:val="18"/>
              </w:rPr>
              <w:t xml:space="preserve">Depends on insurer and custody arrangements</w:t>
            </w:r>
          </w:p>
        </w:tc>
      </w:tr>
      <w:tr>
        <w:tc>
          <w:tcPr>
            <w:tcW w:type="dxa" w:w="3000"/>
            <w:tcMar>
              <w:top w:type="dxa" w:w="80"/>
              <w:left w:type="dxa" w:w="100"/>
              <w:bottom w:type="dxa" w:w="80"/>
              <w:right w:type="dxa" w:w="100"/>
            </w:tcMar>
          </w:tcPr>
          <w:p>
            <w:r>
              <w:rPr>
                <w:b w:val="false"/>
                <w:bCs w:val="false"/>
                <w:color w:val="000000"/>
                <w:sz w:val="18"/>
                <w:szCs w:val="18"/>
              </w:rPr>
              <w:t xml:space="preserve">TDS/tax settlement on the prize</w:t>
            </w:r>
          </w:p>
        </w:tc>
        <w:tc>
          <w:tcPr>
            <w:tcW w:type="dxa" w:w="3200"/>
            <w:tcMar>
              <w:top w:type="dxa" w:w="80"/>
              <w:left w:type="dxa" w:w="100"/>
              <w:bottom w:type="dxa" w:w="80"/>
              <w:right w:type="dxa" w:w="100"/>
            </w:tcMar>
          </w:tcPr>
          <w:p>
            <w:r>
              <w:rPr>
                <w:b w:val="false"/>
                <w:bCs w:val="false"/>
                <w:color w:val="000000"/>
                <w:sz w:val="18"/>
                <w:szCs w:val="18"/>
              </w:rPr>
              <w:t xml:space="preserve">₹4,50,000 (Scenario A) or up to ~₹6,42,857 additional (Scenario B)</w:t>
            </w:r>
          </w:p>
        </w:tc>
        <w:tc>
          <w:tcPr>
            <w:tcW w:type="dxa" w:w="3300"/>
            <w:tcMar>
              <w:top w:type="dxa" w:w="80"/>
              <w:left w:type="dxa" w:w="100"/>
              <w:bottom w:type="dxa" w:w="80"/>
              <w:right w:type="dxa" w:w="100"/>
            </w:tcMar>
          </w:tcPr>
          <w:p>
            <w:r>
              <w:rPr>
                <w:b w:val="false"/>
                <w:bCs w:val="false"/>
                <w:color w:val="000000"/>
                <w:sz w:val="18"/>
                <w:szCs w:val="18"/>
              </w:rPr>
              <w:t xml:space="preserve">See Section 3.1 for the two scenarios</w:t>
            </w:r>
          </w:p>
        </w:tc>
      </w:tr>
      <w:tr>
        <w:tc>
          <w:tcPr>
            <w:tcW w:type="dxa" w:w="3000"/>
            <w:tcMar>
              <w:top w:type="dxa" w:w="80"/>
              <w:left w:type="dxa" w:w="100"/>
              <w:bottom w:type="dxa" w:w="80"/>
              <w:right w:type="dxa" w:w="100"/>
            </w:tcMar>
          </w:tcPr>
          <w:p>
            <w:r>
              <w:rPr>
                <w:b w:val="false"/>
                <w:bCs w:val="false"/>
                <w:color w:val="000000"/>
                <w:sz w:val="18"/>
                <w:szCs w:val="18"/>
              </w:rPr>
              <w:t xml:space="preserve">Contingency (~10% of non-gold costs)</w:t>
            </w:r>
          </w:p>
        </w:tc>
        <w:tc>
          <w:tcPr>
            <w:tcW w:type="dxa" w:w="3200"/>
            <w:tcMar>
              <w:top w:type="dxa" w:w="80"/>
              <w:left w:type="dxa" w:w="100"/>
              <w:bottom w:type="dxa" w:w="80"/>
              <w:right w:type="dxa" w:w="100"/>
            </w:tcMar>
          </w:tcPr>
          <w:p>
            <w:r>
              <w:rPr>
                <w:b w:val="false"/>
                <w:bCs w:val="false"/>
                <w:color w:val="000000"/>
                <w:sz w:val="18"/>
                <w:szCs w:val="18"/>
              </w:rPr>
              <w:t xml:space="preserve">₹1,00,000 – ₹1,30,000</w:t>
            </w:r>
          </w:p>
        </w:tc>
        <w:tc>
          <w:tcPr>
            <w:tcW w:type="dxa" w:w="3300"/>
            <w:tcMar>
              <w:top w:type="dxa" w:w="80"/>
              <w:left w:type="dxa" w:w="100"/>
              <w:bottom w:type="dxa" w:w="80"/>
              <w:right w:type="dxa" w:w="100"/>
            </w:tcMar>
          </w:tcPr>
          <w:p>
            <w:r>
              <w:rPr>
                <w:b w:val="false"/>
                <w:bCs w:val="false"/>
                <w:color w:val="000000"/>
                <w:sz w:val="18"/>
                <w:szCs w:val="18"/>
              </w:rPr>
              <w:t xml:space="preserve">For the inevitable overruns in a multi-month, multi-workstream campaign</w:t>
            </w:r>
          </w:p>
        </w:tc>
      </w:tr>
    </w:tbl>
    <w:p>
      <w:pPr>
        <w:spacing w:after="120"/>
      </w:pPr>
      <w:r>
        <w:rPr>
          <w:sz w:val="21"/>
          <w:szCs w:val="21"/>
        </w:rPr>
        <w:t xml:space="preserve">Approximate total investment: roughly ₹31–34 lakh if the winner bears their own tax (Scenario A), or ₹37–41 lakh if the company grosses up the winner's tax (Scenario B) — excluding any website development cost already budgeted separately under the shivaa.in build.</w:t>
      </w:r>
    </w:p>
    <w:p>
      <w:pPr>
        <w:pStyle w:val="Heading1"/>
        <w:pBdr>
          <w:bottom w:val="single" w:color="9C7A2E" w:sz="8" w:space="4"/>
        </w:pBdr>
        <w:spacing w:after="160" w:before="320"/>
      </w:pPr>
      <w:r>
        <w:rPr>
          <w:b/>
          <w:bCs/>
          <w:color w:val="5C1A1A"/>
          <w:sz w:val="28"/>
          <w:szCs w:val="28"/>
        </w:rPr>
        <w:t xml:space="preserve">15. Go/No-Go Launch Checklist</w:t>
      </w:r>
    </w:p>
    <w:p>
      <w:pPr>
        <w:spacing w:after="120"/>
      </w:pPr>
      <w:r>
        <w:rPr>
          <w:sz w:val="21"/>
          <w:szCs w:val="21"/>
        </w:rPr>
        <w:t xml:space="preserve">Do not make the first public claim of the campaign (Instagram post, Live, or any advertisement) until every item below is genuinely complete.</w:t>
      </w:r>
    </w:p>
    <w:p>
      <w:pPr>
        <w:pStyle w:val="ListParagraph"/>
        <w:numPr>
          <w:ilvl w:val="0"/>
          <w:numId w:val="2"/>
        </w:numPr>
        <w:spacing w:after="60"/>
      </w:pPr>
      <w:r>
        <w:rPr>
          <w:sz w:val="21"/>
          <w:szCs w:val="21"/>
        </w:rPr>
        <w:t xml:space="preserve">☐ Written legal opinion confirming the mechanic (skill contest + free-entry route) is compliant</w:t>
      </w:r>
    </w:p>
    <w:p>
      <w:pPr>
        <w:pStyle w:val="ListParagraph"/>
        <w:numPr>
          <w:ilvl w:val="0"/>
          <w:numId w:val="2"/>
        </w:numPr>
        <w:spacing w:after="60"/>
      </w:pPr>
      <w:r>
        <w:rPr>
          <w:sz w:val="21"/>
          <w:szCs w:val="21"/>
        </w:rPr>
        <w:t xml:space="preserve">☐ Full Terms &amp; Conditions drafted, reviewed by the lawyer, and published on shivaa.in</w:t>
      </w:r>
    </w:p>
    <w:p>
      <w:pPr>
        <w:pStyle w:val="ListParagraph"/>
        <w:numPr>
          <w:ilvl w:val="0"/>
          <w:numId w:val="2"/>
        </w:numPr>
        <w:spacing w:after="60"/>
      </w:pPr>
      <w:r>
        <w:rPr>
          <w:sz w:val="21"/>
          <w:szCs w:val="21"/>
        </w:rPr>
        <w:t xml:space="preserve">☐ Free, no-purchase-necessary entry route built, tested, and equally promoted alongside the purchase route</w:t>
      </w:r>
    </w:p>
    <w:p>
      <w:pPr>
        <w:pStyle w:val="ListParagraph"/>
        <w:numPr>
          <w:ilvl w:val="0"/>
          <w:numId w:val="2"/>
        </w:numPr>
        <w:spacing w:after="60"/>
      </w:pPr>
      <w:r>
        <w:rPr>
          <w:sz w:val="21"/>
          <w:szCs w:val="21"/>
        </w:rPr>
        <w:t xml:space="preserve">☐ Grievance officer appointed and listed with contact details on the website</w:t>
      </w:r>
    </w:p>
    <w:p>
      <w:pPr>
        <w:pStyle w:val="ListParagraph"/>
        <w:numPr>
          <w:ilvl w:val="0"/>
          <w:numId w:val="2"/>
        </w:numPr>
        <w:spacing w:after="60"/>
      </w:pPr>
      <w:r>
        <w:rPr>
          <w:sz w:val="21"/>
          <w:szCs w:val="21"/>
        </w:rPr>
        <w:t xml:space="preserve">☐ GST/TDS treatment of the gold prize confirmed by the CA in writing, including which TDS scenario (A or B) will be used</w:t>
      </w:r>
    </w:p>
    <w:p>
      <w:pPr>
        <w:pStyle w:val="ListParagraph"/>
        <w:numPr>
          <w:ilvl w:val="0"/>
          <w:numId w:val="2"/>
        </w:numPr>
        <w:spacing w:after="60"/>
      </w:pPr>
      <w:r>
        <w:rPr>
          <w:sz w:val="21"/>
          <w:szCs w:val="21"/>
        </w:rPr>
        <w:t xml:space="preserve">☐ Hallmarking/purity compliance confirmed for the initial catalog batch going live at launch</w:t>
      </w:r>
    </w:p>
    <w:p>
      <w:pPr>
        <w:pStyle w:val="ListParagraph"/>
        <w:numPr>
          <w:ilvl w:val="0"/>
          <w:numId w:val="2"/>
        </w:numPr>
        <w:spacing w:after="60"/>
      </w:pPr>
      <w:r>
        <w:rPr>
          <w:sz w:val="21"/>
          <w:szCs w:val="21"/>
        </w:rPr>
        <w:t xml:space="preserve">☐ Board resolution passed authorising the scheme, the ₹9,00,000 marketing budget, and the prize expenditure</w:t>
      </w:r>
    </w:p>
    <w:p>
      <w:pPr>
        <w:pStyle w:val="ListParagraph"/>
        <w:numPr>
          <w:ilvl w:val="0"/>
          <w:numId w:val="2"/>
        </w:numPr>
        <w:spacing w:after="60"/>
      </w:pPr>
      <w:r>
        <w:rPr>
          <w:sz w:val="21"/>
          <w:szCs w:val="21"/>
        </w:rPr>
        <w:t xml:space="preserve">☐ Insurance arranged for the gold biscuit's custody period</w:t>
      </w:r>
    </w:p>
    <w:p>
      <w:pPr>
        <w:pStyle w:val="ListParagraph"/>
        <w:numPr>
          <w:ilvl w:val="0"/>
          <w:numId w:val="2"/>
        </w:numPr>
        <w:spacing w:after="60"/>
      </w:pPr>
      <w:r>
        <w:rPr>
          <w:sz w:val="21"/>
          <w:szCs w:val="21"/>
        </w:rPr>
        <w:t xml:space="preserve">☐ Privacy policy (DPDP-compliant) published covering quiz, KYC, and live-draw data collection</w:t>
      </w:r>
    </w:p>
    <w:p>
      <w:pPr>
        <w:pStyle w:val="ListParagraph"/>
        <w:numPr>
          <w:ilvl w:val="0"/>
          <w:numId w:val="2"/>
        </w:numPr>
        <w:spacing w:after="60"/>
      </w:pPr>
      <w:r>
        <w:rPr>
          <w:sz w:val="21"/>
          <w:szCs w:val="21"/>
        </w:rPr>
        <w:t xml:space="preserve">☐ CA/notary arrangement confirmed for witnessing the 31 December live draw</w:t>
      </w:r>
    </w:p>
    <w:p>
      <w:pPr>
        <w:pStyle w:val="Heading1"/>
        <w:pBdr>
          <w:bottom w:val="single" w:color="9C7A2E" w:sz="8" w:space="4"/>
        </w:pBdr>
        <w:spacing w:after="160" w:before="320"/>
      </w:pPr>
      <w:r>
        <w:rPr>
          <w:b/>
          <w:bCs/>
          <w:color w:val="5C1A1A"/>
          <w:sz w:val="28"/>
          <w:szCs w:val="28"/>
        </w:rPr>
        <w:t xml:space="preserve">16. Immediate Action Checklist (Next 7 Days)</w:t>
      </w:r>
    </w:p>
    <w:p>
      <w:pPr>
        <w:pStyle w:val="ListParagraph"/>
        <w:numPr>
          <w:ilvl w:val="0"/>
          <w:numId w:val="2"/>
        </w:numPr>
        <w:spacing w:after="60"/>
      </w:pPr>
      <w:r>
        <w:rPr>
          <w:sz w:val="21"/>
          <w:szCs w:val="21"/>
        </w:rPr>
        <w:t xml:space="preserve">Engage a consumer-protection/advertising lawyer this week — the mechanic must be redesigned before any public promise or ad spend.</w:t>
      </w:r>
    </w:p>
    <w:p>
      <w:pPr>
        <w:pStyle w:val="ListParagraph"/>
        <w:numPr>
          <w:ilvl w:val="0"/>
          <w:numId w:val="2"/>
        </w:numPr>
        <w:spacing w:after="60"/>
      </w:pPr>
      <w:r>
        <w:rPr>
          <w:sz w:val="21"/>
          <w:szCs w:val="21"/>
        </w:rPr>
        <w:t xml:space="preserve">Brief your CA on this note and get written guidance on TDS mechanics (Scenario A vs B) and GST/ITC treatment of the free gold.</w:t>
      </w:r>
    </w:p>
    <w:p>
      <w:pPr>
        <w:pStyle w:val="ListParagraph"/>
        <w:numPr>
          <w:ilvl w:val="0"/>
          <w:numId w:val="2"/>
        </w:numPr>
        <w:spacing w:after="60"/>
      </w:pPr>
      <w:r>
        <w:rPr>
          <w:sz w:val="21"/>
          <w:szCs w:val="21"/>
        </w:rPr>
        <w:t xml:space="preserve">Lock the phase-wise marketing calendar in Section 15 against your actual website-build progress so Phase 2 (build) genuinely finishes before Phase 3 (teaser) marketing spend begins.</w:t>
      </w:r>
    </w:p>
    <w:p>
      <w:pPr>
        <w:pStyle w:val="ListParagraph"/>
        <w:numPr>
          <w:ilvl w:val="0"/>
          <w:numId w:val="2"/>
        </w:numPr>
        <w:spacing w:after="60"/>
      </w:pPr>
      <w:r>
        <w:rPr>
          <w:sz w:val="21"/>
          <w:szCs w:val="21"/>
        </w:rPr>
        <w:t xml:space="preserve">Rewrite every existing draft script/creative to remove "100% FREE" and add the purchase condition and value-estimate disclaimer in the same breath.</w:t>
      </w:r>
    </w:p>
    <w:p>
      <w:pPr>
        <w:pStyle w:val="ListParagraph"/>
        <w:numPr>
          <w:ilvl w:val="0"/>
          <w:numId w:val="2"/>
        </w:numPr>
        <w:spacing w:after="60"/>
      </w:pPr>
      <w:r>
        <w:rPr>
          <w:sz w:val="21"/>
          <w:szCs w:val="21"/>
        </w:rPr>
        <w:t xml:space="preserve">Start manufacturer agreement paperwork with the 200 Bombay suppliers in parallel with the website build — do not wait until the catalog is technically ready.</w:t>
      </w:r>
    </w:p>
    <w:p>
      <w:pPr>
        <w:pStyle w:val="ListParagraph"/>
        <w:numPr>
          <w:ilvl w:val="0"/>
          <w:numId w:val="2"/>
        </w:numPr>
        <w:spacing w:after="60"/>
      </w:pPr>
      <w:r>
        <w:rPr>
          <w:sz w:val="21"/>
          <w:szCs w:val="21"/>
        </w:rPr>
        <w:t xml:space="preserve">Share this note, and the final legal opinion once ready, with your financer — it directly answers what they asked for and shows the scheme is being properly derisked and budgeted, not rushed.</w:t>
      </w:r>
    </w:p>
    <w:p>
      <w:pPr>
        <w:pStyle w:val="Heading1"/>
        <w:pBdr>
          <w:bottom w:val="single" w:color="9C7A2E" w:sz="8" w:space="4"/>
        </w:pBdr>
        <w:spacing w:after="160" w:before="320"/>
      </w:pPr>
      <w:r>
        <w:rPr>
          <w:b/>
          <w:bCs/>
          <w:color w:val="5C1A1A"/>
          <w:sz w:val="28"/>
          <w:szCs w:val="28"/>
        </w:rPr>
        <w:t xml:space="preserve">17. Final Note to the Financer</w:t>
      </w:r>
    </w:p>
    <w:p>
      <w:pPr>
        <w:spacing w:after="120"/>
      </w:pPr>
      <w:r>
        <w:rPr>
          <w:sz w:val="21"/>
          <w:szCs w:val="21"/>
        </w:rPr>
        <w:t xml:space="preserve">The extended timeline (to 31 December 2026) and the larger ₹9,00,000 marketing budget make this a materially more executable plan than the original 30–60 day version. The legal risk flagged throughout this note is real but standard — it is the same risk every large Indian brand running a purchase-linked contest has already solved, using the skill-contest-plus-free-entry structure in Section 2. Once the Go/No-Go checklist in Section 15 is complete and signed off, this becomes a defensible, properly budgeted festive-season growth campaign rather than an open-ended liability.</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2026-09-09T03:57:01.675Z</dcterms:created>
  <dcterms:modified xsi:type="dcterms:W3CDTF">2026-09-09T03:57:01.687Z</dcterms:modified>
</cp:coreProperties>
</file>

<file path=docProps/custom.xml><?xml version="1.0" encoding="utf-8"?>
<Properties xmlns="http://schemas.openxmlformats.org/officeDocument/2006/custom-properties" xmlns:vt="http://schemas.openxmlformats.org/officeDocument/2006/docPropsVTypes"/>
</file>