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5ABE1" w14:textId="77777777" w:rsidR="005857EE" w:rsidRPr="005857EE" w:rsidRDefault="005857EE" w:rsidP="005857E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ru-RU"/>
          <w14:ligatures w14:val="none"/>
        </w:rPr>
        <w:t xml:space="preserve">Тагир </w:t>
      </w:r>
      <w:proofErr w:type="spellStart"/>
      <w:r w:rsidRPr="005857E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ru-RU"/>
          <w14:ligatures w14:val="none"/>
        </w:rPr>
        <w:t>Ситдеков</w:t>
      </w:r>
      <w:proofErr w:type="spellEnd"/>
      <w:r w:rsidRPr="005857E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lang w:eastAsia="ru-RU"/>
          <w14:ligatures w14:val="none"/>
        </w:rPr>
        <w:t>: медицина должна стать персонализированной и предиктивной</w:t>
      </w:r>
    </w:p>
    <w:p w14:paraId="74876754" w14:textId="77777777" w:rsidR="003B0B36" w:rsidRPr="005857EE" w:rsidRDefault="003B0B36" w:rsidP="005857E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F66EA81" w14:textId="77777777" w:rsid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i/>
          <w:iCs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О вкладе частных клиник в борьбу с пандемией коронавируса, развитие доступной высокотехнологичной медицины, создание новых лекарств на основе биотехнологий рассказал президент АФК "Система" Тагир </w:t>
      </w:r>
      <w:proofErr w:type="spellStart"/>
      <w:r w:rsidRPr="005857EE">
        <w:rPr>
          <w:rFonts w:ascii="Arial" w:eastAsia="Times New Roman" w:hAnsi="Arial" w:cs="Arial"/>
          <w:i/>
          <w:iCs/>
          <w:color w:val="000000" w:themeColor="text1"/>
          <w:kern w:val="0"/>
          <w:sz w:val="24"/>
          <w:szCs w:val="24"/>
          <w:lang w:eastAsia="ru-RU"/>
          <w14:ligatures w14:val="none"/>
        </w:rPr>
        <w:t>Ситдеков</w:t>
      </w:r>
      <w:proofErr w:type="spellEnd"/>
      <w:r w:rsidRPr="005857EE">
        <w:rPr>
          <w:rFonts w:ascii="Arial" w:eastAsia="Times New Roman" w:hAnsi="Arial" w:cs="Arial"/>
          <w:i/>
          <w:iCs/>
          <w:color w:val="000000" w:themeColor="text1"/>
          <w:kern w:val="0"/>
          <w:sz w:val="24"/>
          <w:szCs w:val="24"/>
          <w:lang w:eastAsia="ru-RU"/>
          <w14:ligatures w14:val="none"/>
        </w:rPr>
        <w:t>, ранее курировавший бизнес корпорации в области здравоохранения и фармацевтики.</w:t>
      </w:r>
    </w:p>
    <w:p w14:paraId="1F69EDF7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A3F1414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- Какое влияние оказала пандемия коронавируса на развитие частной медицины в России? Как себя чувствует отрасль сегодня, после определенного спада заболеваемости?</w:t>
      </w:r>
    </w:p>
    <w:p w14:paraId="0A23B1BE" w14:textId="3DDAEA48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- </w:t>
      </w:r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Пандемия, конечно, стала мощным стресс-тестом для частной медицины, и сейчас, по прошествии уже почти трех лет, можно уверенно сказать, что она в целом с честью этот экзамен выдержала. Безусловно, самый главный результат "ковидных" лет – спасенные жизни людей, а также уникальный опыт врачей, полученный в экстремальных условиях. Приведу пример нашего госпиталя в Отрадном, который в рекордно короткие сроки, всего за 7 дней, был перепрофилирован в инфекционную больницу, работал в системе ОМС и принял в общей сложности более 13 тысяч стационарных пациентов из Москвы и области. И </w:t>
      </w:r>
      <w:proofErr w:type="gramStart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это</w:t>
      </w:r>
      <w:proofErr w:type="gramEnd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не считая амбулаторных больных и выездов на дом мобильных врачебных бригад.</w:t>
      </w:r>
    </w:p>
    <w:p w14:paraId="37606563" w14:textId="6AB82DAB" w:rsidR="005857EE" w:rsidRPr="005857EE" w:rsidRDefault="005857EE" w:rsidP="005857E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857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Одним словом, частная медицина, в том числе и наша сеть клиник, показала себя как полноправный участник всей системы здравоохранения страны, неотъемлемая и необходимая часть этого механизма, точно не уступающая лучшим государственным клиникам с точки зрения эффективности, а в чем-то даже опережающая национальные стандарты. В целом это важный рубеж с точки зрения дальнейшего развития индустрии здоровья в нашей стране.</w:t>
      </w:r>
    </w:p>
    <w:p w14:paraId="3268CEF5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По оценкам </w:t>
      </w:r>
      <w:proofErr w:type="spellStart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BusinesStat</w:t>
      </w:r>
      <w:proofErr w:type="spellEnd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, общее число проведенных в России медицинских приемов в 2021 году увеличилось на 18% относительно 2020 года и составило 2,3 миллиарда. В свою очередь, рынок платных медуслуг вырос год к году почти на 16% в денежном выражении. Свою роль здесь сыграли большой объем лабораторных исследований на коронавирус и массовая вакцинация наряду с возобновлением диспансеризации населения, а также отложенный спрос на плановые обследования и операции после снятия антиковидных ограничений. При этом, как отмечают аналитики, медицинская помощь в стране стала существенно доступнее как в государственных, так и в частных медучреждениях.</w:t>
      </w:r>
    </w:p>
    <w:p w14:paraId="79D8577B" w14:textId="77777777" w:rsid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Именно на расширение доступности качественной медицины для населения направлена и наша программа регионального развития. Ее главная задача – сокращение разрыва между уровнем развития медицины в столице, где активно строятся сверхсовременные и высокотехнологичные медцентры, и другими городами, такими как Уфа, Волгоград, Пермь или Брянск, где за последнее время были приобретены местные крупные игроки рынка и открыты новые клиники. Подчеркну, что из 120 клиник нашей федеральной медицинской сети больше половины находятся за пределами московской агломерации – это больше десятка регионов страны.</w:t>
      </w:r>
    </w:p>
    <w:p w14:paraId="3A9C1970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BA0F8A6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- Видите ли вы изменение отношения людей к своему здоровью и к платной медицине после пандемии?</w:t>
      </w:r>
    </w:p>
    <w:p w14:paraId="696FF8F4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- Да, безусловно, в последние годы люди стали более внимательно относится к себе, и качеству оказания медицинской помощи. Это, в частности, отразилось и на показателях посещаемости медучреждений. Например, по итогам прошлого года </w:t>
      </w:r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>количество уникальных пациентов "Медси" выросло более, чем на четверть по сравнению с 2020 годом и превысило миллион, а количество посещений в сутки увеличилось почти на 30% за счет расширения сети.</w:t>
      </w:r>
    </w:p>
    <w:p w14:paraId="07AEA433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По мере того, как снижается число пациентов с COVID, мы наблюдаем рост количества обращений по другим направлениям, в том числе онкологии, хирургии и прочим. Стабильно высок спрос на услуги диагностики.</w:t>
      </w:r>
    </w:p>
    <w:p w14:paraId="09D41104" w14:textId="77777777" w:rsidR="005857EE" w:rsidRPr="005857EE" w:rsidRDefault="005857EE" w:rsidP="005857E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CB8F13F" w14:textId="193DDD02" w:rsidR="005857EE" w:rsidRPr="005857EE" w:rsidRDefault="005857EE" w:rsidP="005857E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857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В целом можно говорить об укреплении доверия и лояльности пациентов к коммерческой медицине. Так, по данным того же </w:t>
      </w:r>
      <w:proofErr w:type="spellStart"/>
      <w:r w:rsidRPr="005857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BusinesStat</w:t>
      </w:r>
      <w:proofErr w:type="spellEnd"/>
      <w:r w:rsidRPr="005857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в 2021 году услугами частных клиник в стране воспользовались почти 30% населения. Основными поводами для обращения в коммерческие медцентры, как показывают опросы, стали точность диагноза и эффективность лечения на фоне пандемии и осложнений после перенесенного коронавируса. Однако, одно дело – чтобы пациент пришел на прием, а совсем другое, чтобы он снова обратился туда, где ему однажды помогли. Поэтому показатели лояльности не менее важны при оценке эффективности работы любого медучреждения, чем число визитов к врачам.</w:t>
      </w:r>
    </w:p>
    <w:p w14:paraId="1C9E7637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- В последние годы стала популярной тема телемедицины. "Помогла" ли пандемия ее развитию?</w:t>
      </w:r>
    </w:p>
    <w:p w14:paraId="0629E4D1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- Да, телемедицина получила серьезный импульс. Еще до пандемии было ясно, что до 40% обращений в медицинские учреждения на самом деле не требуют личного посещения врача. Режим "удаленки" подтолкнул процесс формирования необходимой нормативной базы и инвестиции в развитие медицинских онлайн-сервисов в нашей стране. После принятия закона о телемедицине на этот рынок стали выходить новые игроки. В результате объем этого сегмента рынка вырос почти на 10% – за прошлый год, по экспертным оценкам, в общей сложности проведено почти 5 миллионов телеконсультаций.</w:t>
      </w:r>
    </w:p>
    <w:p w14:paraId="103BC852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Устойчивый спрос на телемедицинские услуги сохраняется и в первом полугодии 2022 года. Так, число пользователей нашего телемедицинского сервиса возросло на 21%, а количество записей на консультации через мобильное приложение увеличилось примерно на треть год к году.</w:t>
      </w:r>
    </w:p>
    <w:p w14:paraId="6080B393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- Пандемия привела к объединению медицинских активов АФК "Система" в компанию "</w:t>
      </w:r>
      <w:proofErr w:type="spellStart"/>
      <w:r w:rsidRPr="005857EE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Биннофарм</w:t>
      </w:r>
      <w:proofErr w:type="spellEnd"/>
      <w:r w:rsidRPr="005857EE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Групп", которая стала первым производителем вакцины "Спутник V". Какие позиции занимает компания на российском фармацевтическом рынке?</w:t>
      </w:r>
    </w:p>
    <w:p w14:paraId="4475FAAC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- Действительно, пандемия ускорила консолидацию фармбизнеса, хотя корпорация к этому шла давно. Еще в 2018 году </w:t>
      </w:r>
      <w:hyperlink r:id="rId4" w:tgtFrame="_blank" w:history="1">
        <w:r w:rsidRPr="005857EE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u w:val="single"/>
            <w:lang w:eastAsia="ru-RU"/>
            <w14:ligatures w14:val="none"/>
          </w:rPr>
          <w:t>АФК "Система"</w:t>
        </w:r>
      </w:hyperlink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 с партнерами приобрела современный фармацевтический завод в Оболенском, затем вошла в капитал крупнейшего отечественного производителя антибиотиков – курганского "Синтеза". События последних лет привели к формированию единой компании, которая сегодня обладает портфелем из 450 регистрационных удостоверений на препараты как для госпитального, так и для аптечного сегментов. Сегодня суммарная производственная площадь заводов "</w:t>
      </w:r>
      <w:proofErr w:type="spellStart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Биннофарм</w:t>
      </w:r>
      <w:proofErr w:type="spellEnd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Групп" превышает 700 тысяч квадратных метров, они обладают мощностями по выпуску фармацевтической продукции более, чем в 20 лекарственных формах. Например, на заводе "</w:t>
      </w:r>
      <w:proofErr w:type="spellStart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Биннофарм</w:t>
      </w:r>
      <w:proofErr w:type="spellEnd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" в Зеленограде удалось в предельно сжаты сроки отработать технологию и наладить полный производственный цикл вакцины.</w:t>
      </w:r>
    </w:p>
    <w:p w14:paraId="7D1E8461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За последнее время компания заметно укрепила свои позиции на российском фармацевтическом рынке – в мае вошла в десятку ведущих игроков в розничном сегменте. При этом выручка от экспортных продаж в первом полугодии выросла в полтора раза благодаря открытию представительств в 6 странах СНГ. В целом </w:t>
      </w:r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>"</w:t>
      </w:r>
      <w:proofErr w:type="spellStart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Биннофарм</w:t>
      </w:r>
      <w:proofErr w:type="spellEnd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Групп" продолжает расти темпами выше рынка. Полугодовая выручка "</w:t>
      </w:r>
      <w:proofErr w:type="spellStart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Биннофарм</w:t>
      </w:r>
      <w:proofErr w:type="spellEnd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Групп" увеличилась более, чем на 16% по сравнению с аналогичным периодом 2021 года и достигла 12,6 миллиарда рублей. Показатель OIBDA вырос на 32% год к году и составил 3,4 миллиарда рублей.</w:t>
      </w:r>
    </w:p>
    <w:p w14:paraId="3FC247F5" w14:textId="77777777" w:rsidR="005857EE" w:rsidRPr="005857EE" w:rsidRDefault="005857EE" w:rsidP="005857E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2A685F" w14:textId="77777777" w:rsid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Мы прекрасно понимаем, что в такой наукоемкой сфере, как фармакология, без собственных разработок не обойтись Задача номер один сейчас – это создание собственного R&amp;D-центра, который строится в Красногорском районе Московской области и объединит научно-исследовательский потенциал, компетенции и технологические возможности всех входящих в "</w:t>
      </w:r>
      <w:proofErr w:type="spellStart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Биннофарм</w:t>
      </w:r>
      <w:proofErr w:type="spellEnd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Групп" предприятий. На этот год запланирован запуск современного Центра фармацевтической разработки препаратов химического синтеза, также проект предусматривает создание Центра разработки биотехнологических препаратов. Мы также занимаемся поставками и локализаций производства препаратов.</w:t>
      </w:r>
    </w:p>
    <w:p w14:paraId="45826161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1F2BC1C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- В структуру корпорации входит еще одно R&amp;D-подразделение – компания "Система-</w:t>
      </w:r>
      <w:proofErr w:type="spellStart"/>
      <w:r w:rsidRPr="005857EE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БиоТех</w:t>
      </w:r>
      <w:proofErr w:type="spellEnd"/>
      <w:r w:rsidRPr="005857EE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". Почему крупный бизнес вкладывается в это направление?</w:t>
      </w:r>
    </w:p>
    <w:p w14:paraId="68274F78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- Эксперты прогнозируют рост рынка биотехнологий в стране на уровне минимум 15% в ближайшие пять лет. Поэтому мы видим большие возможности для импортозамещения как в разработке отечественных тест-систем для диагностики и профилактики различных заболеваний, так и собственных уникальных молекул, в расширении линейки генетических продуктов в области исследования иммунитета, репродуктивного здоровья и в других перспективных направлениях.</w:t>
      </w:r>
    </w:p>
    <w:p w14:paraId="47208B81" w14:textId="77777777" w:rsid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В биотех наша корпорация начала инвестировать еще в доковидный период, но громко заявила о себе лаборатория "Система-</w:t>
      </w:r>
      <w:proofErr w:type="spellStart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БиоТех</w:t>
      </w:r>
      <w:proofErr w:type="spellEnd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" именно с началом активной фазы COVID. Спустя всего месяц после объявления пандемии были зарегистрированы первые наборы реагентов для тестирования на коронавирус. Сейчас спектр разработок гораздо шире.</w:t>
      </w:r>
    </w:p>
    <w:p w14:paraId="371AA32C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4694B6B2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- Как вы оцениваете в целом перспективы развития медицины и фармацевтики в России?</w:t>
      </w:r>
    </w:p>
    <w:p w14:paraId="5231948B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- Эпидемии приходят и уходят, а медицина и фарма будут нужны всегда. Качественная, доступная и высокотехнологичная медицина современного уровня, производство жизненно важных препаратов – это ключевые аспекты лекарственной безопасности и обеспечения здоровья нации. Поэтому наши инвестиции в здравоохранение носят долгосрочный характер, не зависят от текущей рыночной конъюнктуры. Это для нас социально значимый бизнес, не только вопрос прибыли, но и вопрос устойчивого и здорового будущего.</w:t>
      </w:r>
    </w:p>
    <w:p w14:paraId="531C7615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Мы исходим из того, что медицина должна стать более персонализированной и предиктивной, то есть работать не только с текущими заболеваниями, но и заниматься их ранним выявлением и прогнозированием. На повестке у нас и расширение цифровых платформ, и поиск технологических решений с применением ИИ, Big Data, VR\AR\MR с фокусом на раннюю диагностику и персональную медицину, генетику, </w:t>
      </w:r>
      <w:proofErr w:type="spellStart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нейротех</w:t>
      </w:r>
      <w:proofErr w:type="spellEnd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и роботизацию.</w:t>
      </w:r>
    </w:p>
    <w:p w14:paraId="05EAD874" w14:textId="77777777" w:rsidR="005857EE" w:rsidRPr="005857EE" w:rsidRDefault="005857EE" w:rsidP="0058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Мы нацелены и на дальнейшее развитие нашего </w:t>
      </w:r>
      <w:proofErr w:type="spellStart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биотехнаправления</w:t>
      </w:r>
      <w:proofErr w:type="spellEnd"/>
      <w:r w:rsidRPr="005857E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, в том числе, в области разработки лекарственных средств для терапии рака. По сути, наши ученые разрабатывают новый класс лекарственных препаратов, который будет обладать значительно меньшими побочными эффектами и меньшей токсичностью. Первые шаги в этом направлении уже сделаны.</w:t>
      </w:r>
    </w:p>
    <w:p w14:paraId="3FF221A9" w14:textId="77777777" w:rsidR="005857EE" w:rsidRDefault="005857EE"/>
    <w:sectPr w:rsidR="00585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B7"/>
    <w:rsid w:val="001F797A"/>
    <w:rsid w:val="003B0B36"/>
    <w:rsid w:val="003F357F"/>
    <w:rsid w:val="005857EE"/>
    <w:rsid w:val="005C2272"/>
    <w:rsid w:val="0093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8187"/>
  <w15:chartTrackingRefBased/>
  <w15:docId w15:val="{779CB2DE-7528-42E3-BF0B-E4ED0CC2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0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A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0A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0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0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0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0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A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0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0A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0AB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0AB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0A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0A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0A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0A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0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0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0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0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0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0A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0A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0AB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0A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0AB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0A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93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93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91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591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80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7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20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884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3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08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4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3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909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685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46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57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1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3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73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02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47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ia.ru/organization_Siste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1454</Words>
  <Characters>8292</Characters>
  <Application>Microsoft Office Word</Application>
  <DocSecurity>0</DocSecurity>
  <Lines>69</Lines>
  <Paragraphs>19</Paragraphs>
  <ScaleCrop>false</ScaleCrop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2</cp:revision>
  <dcterms:created xsi:type="dcterms:W3CDTF">2025-04-12T11:32:00Z</dcterms:created>
  <dcterms:modified xsi:type="dcterms:W3CDTF">2025-04-12T11:37:00Z</dcterms:modified>
</cp:coreProperties>
</file>