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C6" w:rsidRDefault="00273FC6" w:rsidP="00273FC6">
      <w:pPr>
        <w:pStyle w:val="NormalWeb"/>
        <w:spacing w:before="0" w:beforeAutospacing="0" w:after="0" w:afterAutospacing="0"/>
      </w:pPr>
      <w:r>
        <w:t>The Rand index compares two clustering results [1]. However, to control for randomness and compare clustering scores from clusters of different sizes, the adjusted Rand index (ARI) is a more suitable metric [1]. The ARI is 1 for a perfect clustering that matches the true cluster labels.</w:t>
      </w:r>
    </w:p>
    <w:p w:rsidR="00C15703" w:rsidRDefault="00273FC6" w:rsidP="00273FC6">
      <w:pPr>
        <w:pStyle w:val="NormalWeb"/>
        <w:spacing w:before="0" w:beforeAutospacing="0" w:after="0" w:afterAutospacing="0"/>
      </w:pPr>
      <w:r>
        <w:t xml:space="preserve">On the other hand, a score </w:t>
      </w:r>
      <w:proofErr w:type="gramStart"/>
      <w:r>
        <w:t>close</w:t>
      </w:r>
      <w:proofErr w:type="gramEnd"/>
      <w:r>
        <w:t xml:space="preserve"> to 0 indicates a poor clustering. </w:t>
      </w:r>
      <w:r w:rsidR="00B43FA0">
        <w:t>Based on the</w:t>
      </w:r>
      <w:r w:rsidR="009B56C3">
        <w:t xml:space="preserve"> assumption of tumor characteristics in patients with low risk in HPV- and patients with intermediate risk in HPV-, we simulated patie</w:t>
      </w:r>
      <w:r w:rsidR="006879C8">
        <w:t xml:space="preserve">nts change in outcomes using normal distribution </w:t>
      </w:r>
      <m:oMath>
        <m:r>
          <w:rPr>
            <w:rFonts w:ascii="Cambria Math" w:hAnsi="Cambria Math"/>
          </w:rPr>
          <m:t>N(μ, σ)</m:t>
        </m:r>
      </m:oMath>
      <w:r w:rsidR="006879C8">
        <w:t xml:space="preserve"> as illustrated in Table 1</w:t>
      </w:r>
      <w:r w:rsidR="009B56C3">
        <w:t xml:space="preserve">. </w:t>
      </w:r>
      <w:r w:rsidR="006F17BA">
        <w:t xml:space="preserve">The change in outcome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 xml:space="preserve">measure from first </m:t>
            </m:r>
            <w:proofErr w:type="spellStart"/>
            <m:r>
              <m:rPr>
                <m:nor/>
              </m:rPr>
              <w:rPr>
                <w:rFonts w:ascii="Cambria Math" w:hAnsi="Cambria Math"/>
              </w:rPr>
              <m:t>followup</m:t>
            </m:r>
            <w:proofErr w:type="spellEnd"/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measure from baseline</m:t>
            </m:r>
          </m:den>
        </m:f>
      </m:oMath>
      <w:r w:rsidR="006F17BA">
        <w:t xml:space="preserve">. </w:t>
      </w:r>
    </w:p>
    <w:p w:rsidR="009B56C3" w:rsidRDefault="009B56C3" w:rsidP="00273FC6">
      <w:pPr>
        <w:pStyle w:val="NormalWeb"/>
        <w:spacing w:before="0" w:beforeAutospacing="0" w:after="0" w:afterAutospacing="0"/>
      </w:pPr>
    </w:p>
    <w:p w:rsidR="009B56C3" w:rsidRDefault="009B56C3" w:rsidP="00273FC6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56C3" w:rsidTr="009B56C3">
        <w:tc>
          <w:tcPr>
            <w:tcW w:w="3116" w:type="dxa"/>
          </w:tcPr>
          <w:p w:rsidR="009B56C3" w:rsidRPr="009B56C3" w:rsidRDefault="009B56C3" w:rsidP="009B56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9B56C3">
              <w:rPr>
                <w:rFonts w:asciiTheme="minorHAnsi" w:hAnsiTheme="minorHAnsi" w:cstheme="minorHAnsi"/>
              </w:rPr>
              <w:t>Radiographic Signal</w:t>
            </w:r>
          </w:p>
        </w:tc>
        <w:tc>
          <w:tcPr>
            <w:tcW w:w="3117" w:type="dxa"/>
          </w:tcPr>
          <w:p w:rsidR="009B56C3" w:rsidRPr="009B56C3" w:rsidRDefault="009B56C3" w:rsidP="009B56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9B56C3">
              <w:rPr>
                <w:rFonts w:asciiTheme="minorHAnsi" w:hAnsiTheme="minorHAnsi" w:cstheme="minorHAnsi"/>
              </w:rPr>
              <w:t>HPV- Low Risk</w:t>
            </w:r>
          </w:p>
        </w:tc>
        <w:tc>
          <w:tcPr>
            <w:tcW w:w="3117" w:type="dxa"/>
          </w:tcPr>
          <w:p w:rsidR="009B56C3" w:rsidRPr="009B56C3" w:rsidRDefault="009B56C3" w:rsidP="009B56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9B56C3">
              <w:rPr>
                <w:rFonts w:asciiTheme="minorHAnsi" w:hAnsiTheme="minorHAnsi" w:cstheme="minorHAnsi"/>
              </w:rPr>
              <w:t>HPV- Intermediate Risk</w:t>
            </w:r>
          </w:p>
        </w:tc>
      </w:tr>
      <w:tr w:rsidR="009B56C3" w:rsidTr="009B56C3">
        <w:tc>
          <w:tcPr>
            <w:tcW w:w="3116" w:type="dxa"/>
          </w:tcPr>
          <w:p w:rsidR="009B56C3" w:rsidRPr="009B56C3" w:rsidRDefault="009B56C3" w:rsidP="009B56C3">
            <w:pPr>
              <w:jc w:val="center"/>
              <w:rPr>
                <w:rFonts w:cstheme="minorHAnsi"/>
              </w:rPr>
            </w:pPr>
            <w:r w:rsidRPr="009B56C3">
              <w:rPr>
                <w:rFonts w:cstheme="minorHAnsi"/>
              </w:rPr>
              <w:t>Volume change</w:t>
            </w:r>
          </w:p>
        </w:tc>
        <w:tc>
          <w:tcPr>
            <w:tcW w:w="3117" w:type="dxa"/>
          </w:tcPr>
          <w:p w:rsidR="009B56C3" w:rsidRPr="009B56C3" w:rsidRDefault="009B56C3" w:rsidP="009B56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9B56C3">
              <w:rPr>
                <w:rFonts w:asciiTheme="minorHAnsi" w:hAnsiTheme="minorHAnsi" w:cstheme="minorHAnsi"/>
              </w:rPr>
              <w:t>Normal</w:t>
            </w:r>
            <w:r w:rsidR="00460A44">
              <w:rPr>
                <w:rFonts w:asciiTheme="minorHAnsi" w:hAnsiTheme="minorHAnsi" w:cstheme="minorHAnsi"/>
              </w:rPr>
              <w:t xml:space="preserve"> </w:t>
            </w:r>
            <w:r w:rsidRPr="009B56C3">
              <w:rPr>
                <w:rFonts w:asciiTheme="minorHAnsi" w:hAnsiTheme="minorHAnsi" w:cstheme="minorHAnsi"/>
              </w:rPr>
              <w:t>(0.92, 0.05)</w:t>
            </w:r>
          </w:p>
        </w:tc>
        <w:tc>
          <w:tcPr>
            <w:tcW w:w="3117" w:type="dxa"/>
          </w:tcPr>
          <w:p w:rsidR="009B56C3" w:rsidRPr="009B56C3" w:rsidRDefault="009B56C3" w:rsidP="009B56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9B56C3">
              <w:rPr>
                <w:rFonts w:asciiTheme="minorHAnsi" w:hAnsiTheme="minorHAnsi" w:cstheme="minorHAnsi"/>
              </w:rPr>
              <w:t>Normal</w:t>
            </w:r>
            <w:r w:rsidR="00460A44">
              <w:rPr>
                <w:rFonts w:asciiTheme="minorHAnsi" w:hAnsiTheme="minorHAnsi" w:cstheme="minorHAnsi"/>
              </w:rPr>
              <w:t xml:space="preserve"> </w:t>
            </w:r>
            <w:r w:rsidRPr="009B56C3">
              <w:rPr>
                <w:rFonts w:asciiTheme="minorHAnsi" w:hAnsiTheme="minorHAnsi" w:cstheme="minorHAnsi"/>
              </w:rPr>
              <w:t>(0.80, 0.05)</w:t>
            </w:r>
          </w:p>
        </w:tc>
      </w:tr>
      <w:tr w:rsidR="009B56C3" w:rsidTr="009B56C3">
        <w:tc>
          <w:tcPr>
            <w:tcW w:w="3116" w:type="dxa"/>
          </w:tcPr>
          <w:p w:rsidR="009B56C3" w:rsidRPr="009B56C3" w:rsidRDefault="009B56C3" w:rsidP="009B56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9B56C3">
              <w:rPr>
                <w:rFonts w:asciiTheme="minorHAnsi" w:hAnsiTheme="minorHAnsi" w:cstheme="minorHAnsi"/>
              </w:rPr>
              <w:t>PET SUV max</w:t>
            </w:r>
          </w:p>
        </w:tc>
        <w:tc>
          <w:tcPr>
            <w:tcW w:w="3117" w:type="dxa"/>
          </w:tcPr>
          <w:p w:rsidR="009B56C3" w:rsidRPr="009B56C3" w:rsidRDefault="009B56C3" w:rsidP="009B56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9B56C3">
              <w:rPr>
                <w:rFonts w:asciiTheme="minorHAnsi" w:hAnsiTheme="minorHAnsi" w:cstheme="minorHAnsi"/>
              </w:rPr>
              <w:t>Normal</w:t>
            </w:r>
            <w:r w:rsidR="00460A44">
              <w:rPr>
                <w:rFonts w:asciiTheme="minorHAnsi" w:hAnsiTheme="minorHAnsi" w:cstheme="minorHAnsi"/>
              </w:rPr>
              <w:t xml:space="preserve"> </w:t>
            </w:r>
            <w:r w:rsidRPr="009B56C3">
              <w:rPr>
                <w:rFonts w:asciiTheme="minorHAnsi" w:hAnsiTheme="minorHAnsi" w:cstheme="minorHAnsi"/>
              </w:rPr>
              <w:t>(0.55, 0.03)</w:t>
            </w:r>
          </w:p>
        </w:tc>
        <w:tc>
          <w:tcPr>
            <w:tcW w:w="3117" w:type="dxa"/>
          </w:tcPr>
          <w:p w:rsidR="009B56C3" w:rsidRPr="009B56C3" w:rsidRDefault="009B56C3" w:rsidP="009B56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9B56C3">
              <w:rPr>
                <w:rFonts w:asciiTheme="minorHAnsi" w:hAnsiTheme="minorHAnsi" w:cstheme="minorHAnsi"/>
              </w:rPr>
              <w:t>Normal</w:t>
            </w:r>
            <w:r w:rsidR="00460A44">
              <w:rPr>
                <w:rFonts w:asciiTheme="minorHAnsi" w:hAnsiTheme="minorHAnsi" w:cstheme="minorHAnsi"/>
              </w:rPr>
              <w:t xml:space="preserve"> </w:t>
            </w:r>
            <w:r w:rsidRPr="009B56C3">
              <w:rPr>
                <w:rFonts w:asciiTheme="minorHAnsi" w:hAnsiTheme="minorHAnsi" w:cstheme="minorHAnsi"/>
              </w:rPr>
              <w:t>(0.45, 0.03)</w:t>
            </w:r>
          </w:p>
        </w:tc>
      </w:tr>
      <w:tr w:rsidR="009B56C3" w:rsidTr="009B56C3">
        <w:tc>
          <w:tcPr>
            <w:tcW w:w="3116" w:type="dxa"/>
          </w:tcPr>
          <w:p w:rsidR="009B56C3" w:rsidRPr="009B56C3" w:rsidRDefault="009B56C3" w:rsidP="009B56C3">
            <w:pPr>
              <w:jc w:val="center"/>
              <w:rPr>
                <w:rFonts w:cstheme="minorHAnsi"/>
              </w:rPr>
            </w:pPr>
            <w:r w:rsidRPr="009B56C3">
              <w:rPr>
                <w:rFonts w:cstheme="minorHAnsi"/>
              </w:rPr>
              <w:t>Diffusion</w:t>
            </w:r>
          </w:p>
        </w:tc>
        <w:tc>
          <w:tcPr>
            <w:tcW w:w="3117" w:type="dxa"/>
          </w:tcPr>
          <w:p w:rsidR="009B56C3" w:rsidRPr="009B56C3" w:rsidRDefault="009B56C3" w:rsidP="009B56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9B56C3">
              <w:rPr>
                <w:rFonts w:asciiTheme="minorHAnsi" w:hAnsiTheme="minorHAnsi" w:cstheme="minorHAnsi"/>
              </w:rPr>
              <w:t>Normal</w:t>
            </w:r>
            <w:r w:rsidR="00460A44">
              <w:rPr>
                <w:rFonts w:asciiTheme="minorHAnsi" w:hAnsiTheme="minorHAnsi" w:cstheme="minorHAnsi"/>
              </w:rPr>
              <w:t xml:space="preserve"> </w:t>
            </w:r>
            <w:r w:rsidRPr="009B56C3">
              <w:rPr>
                <w:rFonts w:asciiTheme="minorHAnsi" w:hAnsiTheme="minorHAnsi" w:cstheme="minorHAnsi"/>
              </w:rPr>
              <w:t>(1.18, 0.02)</w:t>
            </w:r>
          </w:p>
        </w:tc>
        <w:tc>
          <w:tcPr>
            <w:tcW w:w="3117" w:type="dxa"/>
          </w:tcPr>
          <w:p w:rsidR="009B56C3" w:rsidRPr="009B56C3" w:rsidRDefault="009B56C3" w:rsidP="009B56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9B56C3">
              <w:rPr>
                <w:rFonts w:asciiTheme="minorHAnsi" w:hAnsiTheme="minorHAnsi" w:cstheme="minorHAnsi"/>
              </w:rPr>
              <w:t>Normal</w:t>
            </w:r>
            <w:r w:rsidR="00460A44">
              <w:rPr>
                <w:rFonts w:asciiTheme="minorHAnsi" w:hAnsiTheme="minorHAnsi" w:cstheme="minorHAnsi"/>
              </w:rPr>
              <w:t xml:space="preserve"> </w:t>
            </w:r>
            <w:r w:rsidRPr="009B56C3">
              <w:rPr>
                <w:rFonts w:asciiTheme="minorHAnsi" w:hAnsiTheme="minorHAnsi" w:cstheme="minorHAnsi"/>
              </w:rPr>
              <w:t>(1.12, 0.02)</w:t>
            </w:r>
          </w:p>
        </w:tc>
      </w:tr>
    </w:tbl>
    <w:p w:rsidR="00273FC6" w:rsidRDefault="009B56C3" w:rsidP="006879C8">
      <w:pPr>
        <w:pStyle w:val="NormalWeb"/>
        <w:spacing w:before="0" w:beforeAutospacing="0" w:after="0" w:afterAutospacing="0"/>
        <w:ind w:firstLine="720"/>
      </w:pPr>
      <w:r>
        <w:t xml:space="preserve">Table 1: </w:t>
      </w:r>
      <w:r w:rsidR="006879C8">
        <w:t xml:space="preserve">Simulation parameters for change in outcomes in HPV- patients. </w:t>
      </w:r>
    </w:p>
    <w:p w:rsidR="00273FC6" w:rsidRDefault="00273FC6" w:rsidP="00273FC6">
      <w:pPr>
        <w:pStyle w:val="NormalWeb"/>
        <w:spacing w:before="0" w:beforeAutospacing="0" w:after="0" w:afterAutospacing="0"/>
      </w:pPr>
    </w:p>
    <w:p w:rsidR="00273FC6" w:rsidRDefault="00273FC6" w:rsidP="00273FC6">
      <w:pPr>
        <w:pStyle w:val="NormalWeb"/>
        <w:spacing w:before="0" w:beforeAutospacing="0" w:after="0" w:afterAutospacing="0"/>
      </w:pPr>
    </w:p>
    <w:p w:rsidR="00B43FA0" w:rsidRPr="00B43FA0" w:rsidRDefault="006F17BA" w:rsidP="00273FC6">
      <w:pPr>
        <w:pStyle w:val="NormalWeb"/>
        <w:spacing w:before="0" w:beforeAutospacing="0" w:after="0" w:afterAutospacing="0"/>
      </w:pPr>
      <w:r>
        <w:t>To evaluate our operating characteristics</w:t>
      </w:r>
      <w:r w:rsidR="00130128">
        <w:t xml:space="preserve"> of the pilot study</w:t>
      </w:r>
      <w:r>
        <w:t>, we performed 10,000 different simulations. We use</w:t>
      </w:r>
      <w:r w:rsidR="0011317A">
        <w:t>d</w:t>
      </w:r>
      <w:r>
        <w:t xml:space="preserve"> the ARI to evaluate clusters of the simulated data where the true cluster labels are known. We assume</w:t>
      </w:r>
      <w:r w:rsidR="0011317A">
        <w:t>d the</w:t>
      </w:r>
      <w:r>
        <w:t xml:space="preserve"> patients that enr</w:t>
      </w:r>
      <w:r w:rsidR="00130128">
        <w:t>oll in the study</w:t>
      </w:r>
      <w:r>
        <w:t xml:space="preserve"> have 50% chance of either being HPV- low risk and HPV- intermediate risk.</w:t>
      </w:r>
      <w:r w:rsidR="00B43FA0">
        <w:t xml:space="preserve"> To study the power of the design, we simulated the outcomes u</w:t>
      </w:r>
      <w:r w:rsidR="0011317A">
        <w:t>sing parameters in Table 1 with</w:t>
      </w:r>
      <w:r w:rsidR="00B43FA0">
        <w:t xml:space="preserve"> 20 patients. We used k-means clustering to cluster the data into 2 groups. We compare the simulated cluster results with the patient assignment of risk. If the ARI exceeds 0.75, we assume the data were well clustered. Replicating the experiment 10,000 </w:t>
      </w:r>
      <w:r w:rsidR="000140DE">
        <w:t>times, we obtain a power of 0.878</w:t>
      </w:r>
      <w:r w:rsidR="00B43FA0">
        <w:t>. Similarly, to test type-I er</w:t>
      </w:r>
      <w:r w:rsidR="00130128">
        <w:t>r</w:t>
      </w:r>
      <w:r w:rsidR="00B43FA0">
        <w:t xml:space="preserve">or, we </w:t>
      </w:r>
      <w:r w:rsidR="00130128">
        <w:t xml:space="preserve">enroll 20 patients with 50% chance of being assigned to </w:t>
      </w:r>
      <w:r w:rsidR="0011317A">
        <w:t xml:space="preserve">the </w:t>
      </w:r>
      <w:r w:rsidR="00130128">
        <w:t>low and intermediate risk</w:t>
      </w:r>
      <w:r w:rsidR="0011317A">
        <w:t xml:space="preserve"> groups</w:t>
      </w:r>
      <w:r w:rsidR="00130128">
        <w:t>. However,</w:t>
      </w:r>
      <w:r w:rsidR="00B43FA0">
        <w:t xml:space="preserve"> all 20 patient</w:t>
      </w:r>
      <w:r w:rsidR="0011317A">
        <w:t>s were simulated using</w:t>
      </w:r>
      <w:r w:rsidR="00B43FA0">
        <w:t xml:space="preserve"> HPV- low risk</w:t>
      </w:r>
      <w:r w:rsidR="0011317A">
        <w:t xml:space="preserve"> parameters</w:t>
      </w:r>
      <w:r w:rsidR="00B43FA0">
        <w:t xml:space="preserve"> and used k-means clustering to cluster the data into two groups.</w:t>
      </w:r>
      <w:r w:rsidR="00130128">
        <w:t xml:space="preserve"> We compare the clustered data with patient</w:t>
      </w:r>
      <w:r w:rsidR="0011317A">
        <w:t>’s</w:t>
      </w:r>
      <w:r w:rsidR="00130128">
        <w:t xml:space="preserve"> assignment of treatment.</w:t>
      </w:r>
      <w:r w:rsidR="00B43FA0">
        <w:t xml:space="preserve"> If the ARI exceeds 0.25,</w:t>
      </w:r>
      <w:r w:rsidR="00130128">
        <w:t xml:space="preserve"> we assume</w:t>
      </w:r>
      <w:r w:rsidR="0011317A">
        <w:t>d</w:t>
      </w:r>
      <w:r w:rsidR="00130128">
        <w:t xml:space="preserve"> the data is clustered reasonably well to the patient assignment. The type-I error rate obtained from the simulation of 10,00</w:t>
      </w:r>
      <w:r w:rsidR="000140DE">
        <w:t>0 different simulations is 0.013</w:t>
      </w:r>
      <w:r w:rsidR="00130128">
        <w:t xml:space="preserve">. </w:t>
      </w:r>
    </w:p>
    <w:p w:rsidR="00273FC6" w:rsidRDefault="00273FC6" w:rsidP="00273FC6">
      <w:pPr>
        <w:pStyle w:val="NormalWeb"/>
        <w:spacing w:before="0" w:beforeAutospacing="0" w:after="0" w:afterAutospacing="0"/>
        <w:rPr>
          <w:i/>
        </w:rPr>
      </w:pPr>
    </w:p>
    <w:p w:rsidR="00273FC6" w:rsidRPr="00273FC6" w:rsidRDefault="00273FC6" w:rsidP="00273FC6">
      <w:pPr>
        <w:pStyle w:val="NormalWeb"/>
        <w:spacing w:before="0" w:beforeAutospacing="0" w:after="0" w:afterAutospacing="0"/>
        <w:rPr>
          <w:i/>
        </w:rPr>
      </w:pPr>
    </w:p>
    <w:p w:rsidR="00273FC6" w:rsidRDefault="00273FC6" w:rsidP="00273FC6">
      <w:pPr>
        <w:pStyle w:val="NormalWeb"/>
        <w:numPr>
          <w:ilvl w:val="0"/>
          <w:numId w:val="1"/>
        </w:numPr>
        <w:spacing w:before="0" w:beforeAutospacing="0" w:after="0" w:afterAutospacing="0"/>
        <w:rPr>
          <w:i/>
        </w:rPr>
      </w:pPr>
      <w:r w:rsidRPr="00273FC6">
        <w:rPr>
          <w:i/>
        </w:rPr>
        <w:t>Rand, W.M., 1971. Objective crite</w:t>
      </w:r>
      <w:bookmarkStart w:id="0" w:name="_GoBack"/>
      <w:bookmarkEnd w:id="0"/>
      <w:r w:rsidRPr="00273FC6">
        <w:rPr>
          <w:i/>
        </w:rPr>
        <w:t>ria for the evaluation of clustering methods. Journal of the American Statistical association, 66(336), pp.846-850.</w:t>
      </w:r>
    </w:p>
    <w:p w:rsidR="00273FC6" w:rsidRPr="00273FC6" w:rsidRDefault="00273FC6" w:rsidP="00B43FA0">
      <w:pPr>
        <w:pStyle w:val="NormalWeb"/>
        <w:spacing w:before="0" w:beforeAutospacing="0" w:after="0" w:afterAutospacing="0"/>
        <w:ind w:left="720"/>
        <w:rPr>
          <w:i/>
        </w:rPr>
      </w:pPr>
    </w:p>
    <w:sectPr w:rsidR="00273FC6" w:rsidRPr="00273FC6" w:rsidSect="0017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235A"/>
    <w:multiLevelType w:val="hybridMultilevel"/>
    <w:tmpl w:val="0F30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C6"/>
    <w:rsid w:val="000140DE"/>
    <w:rsid w:val="000E6E34"/>
    <w:rsid w:val="0011317A"/>
    <w:rsid w:val="00130128"/>
    <w:rsid w:val="001776ED"/>
    <w:rsid w:val="00273FC6"/>
    <w:rsid w:val="00331FAB"/>
    <w:rsid w:val="00460A44"/>
    <w:rsid w:val="006879C8"/>
    <w:rsid w:val="006F17BA"/>
    <w:rsid w:val="00734C62"/>
    <w:rsid w:val="00754D13"/>
    <w:rsid w:val="007B59B5"/>
    <w:rsid w:val="007B5E82"/>
    <w:rsid w:val="00837CD8"/>
    <w:rsid w:val="009B56C3"/>
    <w:rsid w:val="00A80063"/>
    <w:rsid w:val="00B43FA0"/>
    <w:rsid w:val="00BE0BC3"/>
    <w:rsid w:val="00CF306E"/>
    <w:rsid w:val="00D22C6A"/>
    <w:rsid w:val="00D869FC"/>
    <w:rsid w:val="00D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C61E"/>
  <w15:chartTrackingRefBased/>
  <w15:docId w15:val="{7EADCBC2-0BBA-6442-B71F-135B349D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B5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7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THEVAA CHANDERENG</dc:creator>
  <cp:keywords/>
  <dc:description/>
  <cp:lastModifiedBy>THEVAA CHANDERENG</cp:lastModifiedBy>
  <cp:revision>4</cp:revision>
  <dcterms:created xsi:type="dcterms:W3CDTF">2019-11-08T22:15:00Z</dcterms:created>
  <dcterms:modified xsi:type="dcterms:W3CDTF">2019-11-10T06:53:00Z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