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DB78" w14:textId="77777777" w:rsidR="00CD3BBD" w:rsidRPr="00CD3BBD" w:rsidRDefault="00CD3BBD" w:rsidP="00CD3BBD">
      <w:r w:rsidRPr="00CD3BBD">
        <w:t>Methods:</w:t>
      </w:r>
    </w:p>
    <w:p w14:paraId="1EE4816F" w14:textId="6C4ED244" w:rsidR="00CD3BBD" w:rsidRPr="00CD3BBD" w:rsidRDefault="00CD3BBD" w:rsidP="00CD3BBD">
      <w:r w:rsidRPr="00CD3BBD">
        <w:t xml:space="preserve">Based on the complete change in clinical outcome information, we clustered the patients using K-means clustering with Euclidean distance function. Silhouette width provides information on how similar </w:t>
      </w:r>
      <w:r w:rsidRPr="00CD3BBD">
        <w:t>objects within each cluster are</w:t>
      </w:r>
      <w:r w:rsidRPr="00CD3BBD">
        <w:t xml:space="preserve"> compared to other clusters. The number of clusters (k= 2) is picked based on silhouette width.</w:t>
      </w:r>
      <w:r w:rsidR="00302F33">
        <w:t xml:space="preserve"> We also performed cross validation by removing each radiographic metric and clustering the patients based on the other radiographic metrics. </w:t>
      </w:r>
      <w:r w:rsidRPr="00CD3BBD">
        <w:br/>
      </w:r>
      <w:r w:rsidRPr="00CD3BBD">
        <w:br/>
        <w:t>Results:</w:t>
      </w:r>
    </w:p>
    <w:p w14:paraId="186FD9FE" w14:textId="19A9BBB2" w:rsidR="00302F33" w:rsidRDefault="00CD3BBD" w:rsidP="00302F33">
      <w:pPr>
        <w:rPr>
          <w:rFonts w:ascii="Helvetica" w:hAnsi="Helvetica"/>
          <w:color w:val="FFFFFF"/>
          <w:sz w:val="18"/>
          <w:szCs w:val="18"/>
        </w:rPr>
      </w:pPr>
      <w:r w:rsidRPr="00CD3BBD">
        <w:t xml:space="preserve">Using K-means clustering to cluster the patients, there were 2 distinct groups of patients (15 low-intermediate risk patients) and (3 intermediate-high risk patients). The figure below represents the </w:t>
      </w:r>
      <w:r w:rsidR="00302F33">
        <w:t>weighted change in patient’s radiographic metric</w:t>
      </w:r>
      <w:r w:rsidRPr="00CD3BBD">
        <w:t xml:space="preserve"> with different risk groups of patients and the color represents the different clusters. </w:t>
      </w:r>
      <w:r w:rsidR="00302F33">
        <w:t xml:space="preserve">The weight of each radiographic metric is determined by principal component analysis (PCA).  Based on our cross validation results, we concluded each radiographic metric provides vital information for the K-means clustering above. </w:t>
      </w:r>
      <w:proofErr w:type="gramStart"/>
      <w:r w:rsidR="00302F33">
        <w:rPr>
          <w:rFonts w:ascii="Helvetica" w:hAnsi="Helvetica"/>
          <w:color w:val="FFFFFF"/>
          <w:sz w:val="18"/>
          <w:szCs w:val="18"/>
        </w:rPr>
        <w:t>:</w:t>
      </w:r>
      <w:proofErr w:type="gramEnd"/>
    </w:p>
    <w:p w14:paraId="160A960E" w14:textId="79C832AA" w:rsidR="00302F33" w:rsidRDefault="00302F33" w:rsidP="00302F33">
      <w:pPr>
        <w:rPr>
          <w:rFonts w:ascii="Helvetica" w:hAnsi="Helvetica"/>
          <w:color w:val="FFFFFF"/>
          <w:sz w:val="18"/>
          <w:szCs w:val="18"/>
        </w:rPr>
      </w:pPr>
      <w:r>
        <w:rPr>
          <w:rFonts w:ascii="Helvetica" w:hAnsi="Helvetica"/>
          <w:color w:val="FFFFFF"/>
          <w:sz w:val="18"/>
          <w:szCs w:val="18"/>
        </w:rPr>
        <w:t xml:space="preserve">Based on the complete change in clinical outcome information, we clustered the </w:t>
      </w:r>
    </w:p>
    <w:p w14:paraId="2F2B5414" w14:textId="26E55E49" w:rsidR="00302F33" w:rsidRDefault="00302F33" w:rsidP="00302F33">
      <w:pPr>
        <w:rPr>
          <w:rFonts w:ascii="Helvetica" w:hAnsi="Helvetica"/>
          <w:color w:val="FFFFFF"/>
          <w:sz w:val="18"/>
          <w:szCs w:val="18"/>
        </w:rPr>
      </w:pPr>
      <w:r>
        <w:rPr>
          <w:rFonts w:ascii="Helvetica" w:hAnsi="Helvetica"/>
          <w:color w:val="FFFFFF"/>
          <w:sz w:val="18"/>
          <w:szCs w:val="18"/>
        </w:rPr>
        <w:t>Node with different risk groups of patients and the color represents the different clusters. </w:t>
      </w:r>
    </w:p>
    <w:p w14:paraId="3F4635F3" w14:textId="2C455790" w:rsidR="00CD3BBD" w:rsidRPr="00CD3BBD" w:rsidRDefault="00302F33" w:rsidP="00CD3BBD">
      <w:r>
        <w:t xml:space="preserve"> </w:t>
      </w:r>
    </w:p>
    <w:p w14:paraId="7C2A3BA7" w14:textId="77777777" w:rsidR="00273FC6" w:rsidRPr="00CD3BBD" w:rsidRDefault="00273FC6" w:rsidP="00CD3BBD"/>
    <w:sectPr w:rsidR="00273FC6" w:rsidRPr="00CD3BBD" w:rsidSect="0017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235A"/>
    <w:multiLevelType w:val="hybridMultilevel"/>
    <w:tmpl w:val="0F30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C6"/>
    <w:rsid w:val="000140DE"/>
    <w:rsid w:val="000E6E34"/>
    <w:rsid w:val="0011317A"/>
    <w:rsid w:val="00130128"/>
    <w:rsid w:val="001776ED"/>
    <w:rsid w:val="00236DE5"/>
    <w:rsid w:val="00273FC6"/>
    <w:rsid w:val="00302F33"/>
    <w:rsid w:val="00331FAB"/>
    <w:rsid w:val="00460A44"/>
    <w:rsid w:val="006879C8"/>
    <w:rsid w:val="006F17BA"/>
    <w:rsid w:val="00734C62"/>
    <w:rsid w:val="00754D13"/>
    <w:rsid w:val="007B59B5"/>
    <w:rsid w:val="007B5E82"/>
    <w:rsid w:val="00837CD8"/>
    <w:rsid w:val="009B56C3"/>
    <w:rsid w:val="00A62490"/>
    <w:rsid w:val="00A80063"/>
    <w:rsid w:val="00AB5AAB"/>
    <w:rsid w:val="00B43FA0"/>
    <w:rsid w:val="00BE0BC3"/>
    <w:rsid w:val="00C70389"/>
    <w:rsid w:val="00CD3BBD"/>
    <w:rsid w:val="00CF306E"/>
    <w:rsid w:val="00D22C6A"/>
    <w:rsid w:val="00D869FC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12E5"/>
  <w15:chartTrackingRefBased/>
  <w15:docId w15:val="{7EADCBC2-0BBA-6442-B71F-135B349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B5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THEVAA CHANDERENG</dc:creator>
  <cp:keywords/>
  <dc:description/>
  <cp:lastModifiedBy>THEVAA CHANDERENG</cp:lastModifiedBy>
  <cp:revision>9</cp:revision>
  <dcterms:created xsi:type="dcterms:W3CDTF">2019-11-08T22:15:00Z</dcterms:created>
  <dcterms:modified xsi:type="dcterms:W3CDTF">2021-09-02T05:03:00Z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