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>ПОЛЕВОЙ КОМПЛЕКТ · INV-P0</w:t>
      </w:r>
    </w:p>
    <w:p>
      <w:pPr>
        <w:pStyle w:val="Title"/>
      </w:pPr>
      <w:r>
        <w:t>Полевой журнал</w:t>
        <w:br/>
        <w:t>полной инвентаризации</w:t>
      </w:r>
    </w:p>
    <w:p>
      <w:pPr>
        <w:pStyle w:val="MetaLine"/>
      </w:pPr>
      <w:r>
        <w:t>22–23.08.2026 · inventory-recovery-v1 · v1.0</w:t>
      </w:r>
    </w:p>
    <w:p>
      <w:pPr>
        <w:pStyle w:val="BrandQuote"/>
      </w:pPr>
      <w:r>
        <w:t>Единая форма для управления ходом работ, фиксации дублей SSCC и воспроизводимого закрытия инвентаризации.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100"/>
        <w:gridCol w:w="6650"/>
      </w:tblGrid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/ площадка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Период проведения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22–23.08.2026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Код документа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INV-P0-FIELD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формы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1.0</w:t>
            </w:r>
          </w:p>
        </w:tc>
      </w:tr>
    </w:tbl>
    <w:p>
      <w:pPr>
        <w:spacing w:before="160" w:after="0" w:line="240" w:lineRule="auto"/>
      </w:pPr>
      <w:r>
        <w:rPr>
          <w:rFonts w:ascii="IBM Plex Mono" w:hAnsi="IBM Plex Mono" w:eastAsia="IBM Plex Mono"/>
          <w:b/>
          <w:color w:val="D98E04"/>
          <w:sz w:val="17"/>
        </w:rPr>
        <w:t>РАБОЧАЯ ФОРМА · заполняется разборчиво; исправления заверяются подписью и временем.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Word-форма не заменяет raw-old-sscc.txt, CSV/JSON, фото и криптографические хеши. При расхождении приоритет у исходных технических артефактов.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1. Паспорт операции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(юридическое наименование)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Адрес / зона склада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Протокол / версия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inventory-recovery-v1 / 1.0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Оператор / роль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Устройство / terminalId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Station / SHA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API / SHA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Часовой пояс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Europe/Moscow, UTC+03:00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Источник точного времени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Стартовый порог нового SSCC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Разрешённый диапазон SSCC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2. Стоп-контроль до первого сканирования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1D6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СТОП-КОНТРОЛЬ · Не начинайте физическую переработку, если не зафиксированы границы склада, operationId, диапазон SSCC, оператор, устройство, версии сборок, точное время, места двух резервных копий и ответственные лица.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300"/>
        <w:gridCol w:w="1600"/>
        <w:gridCol w:w="1700"/>
        <w:gridCol w:w="315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Подтверждение / комментарий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Границы инвентаризации согласованы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operationId и версия протокола записаны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Диапазон новых SSCC подтверждён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Сканер, камера, принтер и расходники готовы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Часы устройства сверены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Места копий A и B согласованы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3. Контрольные ворота G01–G12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700"/>
        <w:gridCol w:w="4100"/>
        <w:gridCol w:w="1250"/>
        <w:gridCol w:w="1300"/>
        <w:gridCol w:w="240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Условие перехода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 / примечание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G01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Заказчик, площадка и физические границы склада зафиксированы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G02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operationId и версия протокола записаны во всех артефактах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G03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Оператор, устройство, сборки и источник времени зафиксированы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G04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Стартовый порог и разрешённый диапазон новых SSCC подтверждены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G05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Инструменты проверены; часы устройства сверены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G06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Репетиция завершена; дата производства доказана на 6 поверхностях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G07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Старые SSCC собираются без нормализации и потери порядка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G08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Каждому вскрытому коробу присвоен физический номер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G09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Каждая группа дублей сфотографирована и связана с raw-строками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G10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Состав коробов проверен; новые короба сформированы индивидуально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G11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Шесть примитивных контролей сверки сошлись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G12</w:t>
              <w:br/>
            </w:r>
          </w:p>
        </w:tc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Акты подписаны; две копии проверены; custody вынесен из пакета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</w:tbl>
    <w:p>
      <w:pPr>
        <w:spacing w:before="120" w:after="0" w:line="240" w:lineRule="auto"/>
      </w:pPr>
      <w:r>
        <w:rPr>
          <w:rFonts w:ascii="IBM Plex Mono" w:hAnsi="IBM Plex Mono" w:eastAsia="IBM Plex Mono"/>
          <w:b/>
          <w:color w:val="D98E04"/>
          <w:sz w:val="16"/>
        </w:rPr>
        <w:t>Допустимые значения статуса: PASS / FAIL / NOT_RUN. Пустое поле не считается подтверждением.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4. Репетиция: дата производства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Указать дату производства в настройках смены, проверить её прохождение по всем поверхностям и подтвердить запрет изменения после открытия смены. Если поле не задано — отдельно доказать старое вычисляемое поведение.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Тестовый продукт / GTIN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Партия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Явная дата производства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Ожидаемая дата при пустом поле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shiftId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Тестовый SSCC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1800"/>
        <w:gridCol w:w="2700"/>
        <w:gridCol w:w="2500"/>
        <w:gridCol w:w="1150"/>
        <w:gridCol w:w="16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Поверхность</w:t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Ожидание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DB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Сохранено точное значение / null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API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Контракт возвращает точное значение / null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Admin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Поле доступно до открытия смены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Station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Поле синхронизировано и отображается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Label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Использована явная дата либо прежний расчёт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Export</w:t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>В отчёте присутствует фактически использованная дата</w:t>
              <w:br/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Проверка блокировки изменения после открытия смены: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Отклонения / решение: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5. Хронологический журнал операции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Одна строка — одно значимое действие или переход. Время записывать с UTC offset. Для фото, файла или события указывать стабильный Evidence ID.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550"/>
        <w:gridCol w:w="1700"/>
        <w:gridCol w:w="2150"/>
        <w:gridCol w:w="1800"/>
        <w:gridCol w:w="1500"/>
        <w:gridCol w:w="2050"/>
      </w:tblGrid>
      <w:tr>
        <w:trPr>
          <w:tblHeader w:val="true"/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Gate / действие</w:t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Объект</w:t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Результат / инициалы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01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02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03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04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05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06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07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08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09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10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11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12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13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14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15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16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17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18</w:t>
              <w:br/>
            </w:r>
          </w:p>
        </w:tc>
        <w:tc>
          <w:tcPr>
            <w:tcW w:type="dxa" w:w="1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6. Реестр физических коробов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Физический номер присваивается до вскрытия. Сырой SSCC хранится в техническом файле; здесь указывается ссылка на строку, а не переписанный код. При необходимости распечатайте эту страницу повторно и нумеруйте листы.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Лист реестра №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____ из ____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Диапазон физических номеров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700"/>
        <w:gridCol w:w="1000"/>
        <w:gridCol w:w="1850"/>
        <w:gridCol w:w="1500"/>
        <w:gridCol w:w="1050"/>
        <w:gridCol w:w="1250"/>
        <w:gridCol w:w="240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Физ. №</w:t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Raw ref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Продукт / GTIN</w:t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на продукции</w:t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Партия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Duplicate group</w:t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Итог / новый SSCC ref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01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02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03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04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05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06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07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08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09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10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11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12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13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14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3"/>
              </w:rPr>
              <w:t>15</w:t>
              <w:br/>
            </w:r>
          </w:p>
        </w:tc>
        <w:tc>
          <w:tcPr>
            <w:tcW w:type="dxa" w:w="1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3"/>
              </w:rPr>
              <w:t xml:space="preserve"> </w:t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7. Реестр групп дублей SSCC и фото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Каждый одинаковый SSCC на нескольких коробах образует отдельную группу. На фото должны быть различимы физические номера коробов и связь с raw-строками; исходный код в форме не нормализуется.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1050"/>
        <w:gridCol w:w="1400"/>
        <w:gridCol w:w="1650"/>
        <w:gridCol w:w="1400"/>
        <w:gridCol w:w="2700"/>
        <w:gridCol w:w="155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Group ID</w:t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Raw refs</w:t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Физические №</w:t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Кол-во коробов</w:t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Photo IDs / имена файлов</w:t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Проверил / время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DUP-01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DUP-02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DUP-03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DUP-04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DUP-05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DUP-06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DUP-07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DUP-08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DUP-09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DUP-10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8. Исключения, остановки и поправки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Ничего не стирать и не замазывать. Ошибочную запись зачеркнуть одной линией, рядом указать правильное значение, причину, время и инициалы.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850"/>
        <w:gridCol w:w="1250"/>
        <w:gridCol w:w="2400"/>
        <w:gridCol w:w="1500"/>
        <w:gridCol w:w="1500"/>
        <w:gridCol w:w="1400"/>
        <w:gridCol w:w="850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Описание</w:t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Затронутые объекты</w:t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Инициалы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EXC-01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EXC-02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EXC-03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EXC-04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EXC-05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EXC-06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EXC-07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4"/>
              </w:rPr>
              <w:t>EXC-08</w:t>
              <w:br/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2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4"/>
              </w:rPr>
              <w:t xml:space="preserve"> </w:t>
              <w:br/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9. Контрольная передача и закрытие журнала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Количество листов журнала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Последний заполненный № строки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Последний физический № короба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Количество duplicate groups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Папка технического пакета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Идентификатор manifest.draft.json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Незакрытые вопросы: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Решение о продолжении / остановке: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2850"/>
        <w:gridCol w:w="2100"/>
        <w:gridCol w:w="22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Сторона / роль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ФИО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Подпись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Оператор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Представитель заказчика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Принимающий данные / custodian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Финальная сверка, хеши и две резервные копии оформляются в документе «Закрытие и хранение доказательств».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250" w:bottom="1500" w:left="125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0D5" w:sz="4"/>
      </w:pBd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v</w:t>
    </w:r>
    <w:r>
      <w:drawing>
        <wp:inline distT="0" distB="0" distL="0" distR="0">
          <wp:extent cx="857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20"/>
        <w:szCs w:val="2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3"/>
        <w:szCs w:val="13"/>
      </w:rPr>
      <w:t xml:space="preserve">doc · v-b.tech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v</w:t>
    </w:r>
    <w:r>
      <w:drawing>
        <wp:inline distT="0" distB="0" distL="0" distR="0">
          <wp:extent cx="1333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30"/>
        <w:szCs w:val="3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4"/>
        <w:szCs w:val="14"/>
      </w:rPr>
      <w:t xml:space="preserve">software for physical operations</w:t>
    </w:r>
  </w:p>
  <w:p>
    <w:pPr>
      <w:pBdr>
        <w:bottom w:val="single" w:color="101214" w:sz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  <w:rPr>
        <w:rFonts w:ascii="IBM Plex Mono" w:cs="IBM Plex Mono" w:eastAsia="IBM Plex Mono" w:hAnsi="IBM Plex Mono"/>
        <w:color w:val="D98E04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480" w:hanging="340"/>
      </w:pPr>
      <w:rPr>
        <w:rFonts w:ascii="IBM Plex Mono" w:cs="IBM Plex Mono" w:eastAsia="IBM Plex Mono" w:hAnsi="IBM Plex Mono"/>
        <w:b/>
        <w:bCs/>
        <w:color w:val="D98E0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B1F23"/>
        <w:sz w:val="21"/>
        <w:szCs w:val="21"/>
      </w:rPr>
    </w:rPrDefault>
    <w:pPrDefault>
      <w:pPr>
        <w:spacing w:after="1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="240"/>
    </w:pPr>
    <w:rPr>
      <w:rFonts w:ascii="IBM Plex Sans" w:cs="IBM Plex Sans" w:eastAsia="IBM Plex Sans" w:hAnsi="IBM Plex Sans"/>
      <w:b/>
      <w:bCs/>
      <w:color w:val="101214"/>
      <w:sz w:val="56"/>
      <w:szCs w:val="56"/>
    </w:rPr>
  </w:style>
  <w:style w:type="paragraph" w:styleId="Eyebrow">
    <w:name w:val="Eyebrow"/>
    <w:basedOn w:val="Normal"/>
    <w:next w:val="Title"/>
    <w:pPr>
      <w:spacing w:after="120" w:before="240"/>
    </w:pPr>
    <w:rPr>
      <w:rFonts w:ascii="IBM Plex Mono" w:cs="IBM Plex Mono" w:eastAsia="IBM Plex Mono" w:hAnsi="IBM Plex Mono"/>
      <w:caps/>
      <w:color w:val="D98E04"/>
      <w:spacing w:val="40"/>
      <w:sz w:val="17"/>
      <w:szCs w:val="17"/>
    </w:rPr>
  </w:style>
  <w:style w:type="paragraph" w:styleId="MetaLine">
    <w:name w:val="Meta Line"/>
    <w:basedOn w:val="Normal"/>
    <w:next w:val="Normal"/>
    <w:pPr>
      <w:spacing w:after="480"/>
    </w:pPr>
    <w:rPr>
      <w:rFonts w:ascii="IBM Plex Mono" w:cs="IBM Plex Mono" w:eastAsia="IBM Plex Mono" w:hAnsi="IBM Plex Mono"/>
      <w:color w:val="5A626B"/>
      <w:sz w:val="16"/>
      <w:szCs w:val="16"/>
    </w:rPr>
  </w:style>
  <w:style w:type="paragraph" w:styleId="Heading1">
    <w:name w:val="Heading 1"/>
    <w:basedOn w:val="Normal"/>
    <w:next w:val="Normal"/>
    <w:qFormat/>
    <w:pPr>
      <w:pBdr>
        <w:bottom w:val="single" w:color="F5A623" w:sz="12" w:space="6"/>
      </w:pBdr>
      <w:spacing w:after="160" w:before="420" w:line="260"/>
      <w:outlineLvl w:val="0"/>
    </w:pPr>
    <w:rPr>
      <w:rFonts w:ascii="IBM Plex Sans" w:cs="IBM Plex Sans" w:eastAsia="IBM Plex Sans" w:hAnsi="IBM Plex Sans"/>
      <w:b/>
      <w:bCs/>
      <w:color w:val="1012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BM Plex Sans" w:cs="IBM Plex Sans" w:eastAsia="IBM Plex Sans" w:hAnsi="IBM Plex Sans"/>
      <w:b/>
      <w:bCs/>
      <w:color w:val="1012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IBM Plex Mono" w:cs="IBM Plex Mono" w:eastAsia="IBM Plex Mono" w:hAnsi="IBM Plex Mono"/>
      <w:b/>
      <w:bCs/>
      <w:caps/>
      <w:color w:val="D98E04"/>
      <w:spacing w:val="25"/>
      <w:sz w:val="19"/>
      <w:szCs w:val="19"/>
    </w:rPr>
  </w:style>
  <w:style w:type="paragraph" w:styleId="BrandQuote">
    <w:name w:val="Brand Quote"/>
    <w:basedOn w:val="Normal"/>
    <w:next w:val="Normal"/>
    <w:qFormat/>
    <w:pPr>
      <w:pBdr>
        <w:left w:val="single" w:color="F5A623" w:sz="18" w:space="16"/>
      </w:pBdr>
      <w:spacing w:after="200" w:before="200" w:line="320"/>
      <w:ind w:left="360"/>
    </w:pPr>
    <w:rPr>
      <w:rFonts w:ascii="IBM Plex Sans" w:cs="IBM Plex Sans" w:eastAsia="IBM Plex Sans" w:hAnsi="IBM Plex Sans"/>
      <w:color w:val="5A626B"/>
      <w:sz w:val="23"/>
      <w:szCs w:val="23"/>
    </w:rPr>
  </w:style>
  <w:style w:type="paragraph" w:styleId="CodeBlock">
    <w:name w:val="Code Block"/>
    <w:basedOn w:val="Normal"/>
    <w:next w:val="Normal"/>
    <w:qFormat/>
    <w:pPr>
      <w:pBdr>
        <w:top w:val="single" w:color="CBD0D5" w:sz="4"/>
        <w:bottom w:val="single" w:color="CBD0D5" w:sz="4"/>
        <w:left w:val="single" w:color="CBD0D5" w:sz="4"/>
        <w:right w:val="single" w:color="CBD0D5" w:sz="4"/>
      </w:pBdr>
      <w:shd w:fill="F0F1EE" w:val="clear"/>
      <w:spacing w:after="160" w:before="160" w:line="300"/>
      <w:ind w:left="240" w:right="240"/>
    </w:pPr>
    <w:rPr>
      <w:rFonts w:ascii="IBM Plex Mono" w:cs="IBM Plex Mono" w:eastAsia="IBM Plex Mono" w:hAnsi="IBM Plex Mono"/>
      <w:color w:val="1B1F23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IBM Plex Mono" w:cs="IBM Plex Mono" w:eastAsia="IBM Plex Mono" w:hAnsi="IBM Plex Mono"/>
      <w:caps/>
      <w:color w:val="7C858F"/>
      <w:spacing w:val="30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Полевой журнал полной инвентаризации</dc:title>
  <dc:creator>v-b.tech · Markiro</dc:creator>
  <cp:lastModifiedBy>Un-named</cp:lastModifiedBy>
  <cp:revision>1</cp:revision>
  <dcterms:created xsi:type="dcterms:W3CDTF">2026-08-21T06:32:59.074Z</dcterms:created>
  <dcterms:modified xsi:type="dcterms:W3CDTF">2026-08-21T06:32:59.075Z</dcterms:modified>
  <dc:subject>Контроль первого внедрения Markiro</dc:subject>
  <cp:keywords>Markiro, inventory, evidence, SSCC, customer rollout</cp:keywords>
  <dc:description>Blank operational form. Contains no customer personal data.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