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t>АКТ · CUSTOMER EVIDENCE</w:t>
      </w:r>
    </w:p>
    <w:p>
      <w:pPr>
        <w:pStyle w:val="Title"/>
      </w:pPr>
      <w:r>
        <w:t>Акт проведения инвентаризации</w:t>
        <w:br/>
        <w:t>и согласия заказчика</w:t>
      </w:r>
    </w:p>
    <w:p>
      <w:pPr>
        <w:pStyle w:val="MetaLine"/>
      </w:pPr>
      <w:r>
        <w:t>22–23.08.2026 · customer-act-v1 · v1.0</w:t>
      </w:r>
    </w:p>
    <w:p>
      <w:pPr>
        <w:pStyle w:val="BrandQuote"/>
      </w:pPr>
      <w:r>
        <w:t>Совместная фиксация исходного состояния, выполненного вмешательства, результатов и разрешённого использования материалов.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100"/>
        <w:gridCol w:w="6650"/>
      </w:tblGrid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Заказчик / площадка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operationId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Период проведения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22–23.08.2026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Ответственный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Код документа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>INV-P0-ACT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Версия формы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>1.0</w:t>
            </w:r>
          </w:p>
        </w:tc>
      </w:tr>
    </w:tbl>
    <w:p>
      <w:pPr>
        <w:spacing w:before="160" w:after="0" w:line="240" w:lineRule="auto"/>
      </w:pPr>
      <w:r>
        <w:rPr>
          <w:rFonts w:ascii="IBM Plex Mono" w:hAnsi="IBM Plex Mono" w:eastAsia="IBM Plex Mono"/>
          <w:b/>
          <w:color w:val="D98E04"/>
          <w:sz w:val="17"/>
        </w:rPr>
        <w:t>РАБОЧАЯ ФОРМА · заполняется разборчиво; исправления заверяются подписью и временем.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ВАЖНО · Документ фиксирует факты конкретной операции. Он не является юридическим заключением и сам по себе не подтверждает критерии EB-2 NIW; любые последующие заявления должны опираться на проверяемые первичные материалы и отдельную правовую оценку.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1. Стороны и предмет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000"/>
        <w:gridCol w:w="6750"/>
      </w:tblGrid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Заказчик (юридическое наименование)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ИНН / ОГРН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Адрес площадки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Представитель заказчика / должность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Исполнитель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v-b.tech / Markiro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Руководитель операции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operationId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Период фактических работ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Границы склада / исключения из объёма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</w:tbl>
    <w:p>
      <w:pPr>
        <w:pStyle w:val="Heading1"/>
        <w:pageBreakBefore w:val="0"/>
      </w:pPr>
      <w:r>
        <w:t>2. Исходное состояние до вмешательства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4100"/>
        <w:gridCol w:w="2300"/>
        <w:gridCol w:w="3350"/>
      </w:tblGrid>
      <w:tr>
        <w:trPr>
          <w:tblHeader w:val="true"/>
          <w:cantSplit/>
        </w:trPr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Наблюдение</w:t>
            </w:r>
          </w:p>
        </w:tc>
        <w:tc>
          <w:tcPr>
            <w:tcW w:type="dxa" w:w="2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Подтверждение заказчика</w:t>
            </w:r>
          </w:p>
        </w:tc>
        <w:tc>
          <w:tcPr>
            <w:tcW w:type="dxa" w:w="33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Evidence ID / примечание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Существующая программа работает локально и не формирует телеметрию операции</w:t>
              <w:br/>
            </w:r>
          </w:p>
        </w:tc>
        <w:tc>
          <w:tcPr>
            <w:tcW w:type="dxa" w:w="2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  <w:br/>
            </w:r>
          </w:p>
        </w:tc>
        <w:tc>
          <w:tcPr>
            <w:tcW w:type="dxa" w:w="33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Отчёты переносятся вручную на внешнем носителе</w:t>
              <w:br/>
            </w:r>
          </w:p>
        </w:tc>
        <w:tc>
          <w:tcPr>
            <w:tcW w:type="dxa" w:w="2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  <w:br/>
            </w:r>
          </w:p>
        </w:tc>
        <w:tc>
          <w:tcPr>
            <w:tcW w:type="dxa" w:w="33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Возможна печать одинакового SSCC на нескольких физических коробах</w:t>
              <w:br/>
            </w:r>
          </w:p>
        </w:tc>
        <w:tc>
          <w:tcPr>
            <w:tcW w:type="dxa" w:w="2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  <w:br/>
            </w:r>
          </w:p>
        </w:tc>
        <w:tc>
          <w:tcPr>
            <w:tcW w:type="dxa" w:w="33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Возможно открытие ранее закрытых смен с последующим исправлением учётных ошибок</w:t>
              <w:br/>
            </w:r>
          </w:p>
        </w:tc>
        <w:tc>
          <w:tcPr>
            <w:tcW w:type="dxa" w:w="2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  <w:br/>
            </w:r>
          </w:p>
        </w:tc>
        <w:tc>
          <w:tcPr>
            <w:tcW w:type="dxa" w:w="33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Полной подтверждённой базовой статистики до внедрения нет</w:t>
              <w:br/>
            </w:r>
          </w:p>
        </w:tc>
        <w:tc>
          <w:tcPr>
            <w:tcW w:type="dxa" w:w="2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  <w:br/>
            </w:r>
          </w:p>
        </w:tc>
        <w:tc>
          <w:tcPr>
            <w:tcW w:type="dxa" w:w="33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  <w:br/>
            </w:r>
          </w:p>
        </w:tc>
      </w:tr>
    </w:tbl>
    <w:p>
      <w:pPr>
        <w:spacing w:before="40" w:after="20" w:line="240" w:lineRule="auto"/>
      </w:pPr>
      <w:r>
        <w:rPr>
          <w:rFonts w:ascii="IBM Plex Sans" w:hAnsi="IBM Plex Sans" w:eastAsia="IBM Plex Sans"/>
          <w:b/>
          <w:color w:val="1B1F23"/>
          <w:sz w:val="17"/>
        </w:rPr>
        <w:t xml:space="preserve">Дополнительное описание исходного процесса: </w:t>
      </w: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p>
      <w:pPr>
        <w:spacing w:before="40" w:after="20" w:line="240" w:lineRule="auto"/>
      </w:pPr>
      <w:r>
        <w:rPr>
          <w:rFonts w:ascii="IBM Plex Sans" w:hAnsi="IBM Plex Sans" w:eastAsia="IBM Plex Sans"/>
          <w:b/>
          <w:color w:val="1B1F23"/>
          <w:sz w:val="17"/>
        </w:rPr>
        <w:t xml:space="preserve">Известные ограничения исходных данных: </w:t>
      </w: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3. Выполненное вмешательство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4200"/>
        <w:gridCol w:w="3650"/>
        <w:gridCol w:w="1900"/>
      </w:tblGrid>
      <w:tr>
        <w:trPr>
          <w:tblHeader w:val="true"/>
          <w:cantSplit/>
        </w:trPr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Действие</w:t>
            </w:r>
          </w:p>
        </w:tc>
        <w:tc>
          <w:tcPr>
            <w:tcW w:type="dxa" w:w="3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Фактический объём / результат</w:t>
            </w:r>
          </w:p>
        </w:tc>
        <w:tc>
          <w:tcPr>
            <w:tcW w:type="dxa" w:w="1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Evidence ID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Выполнено сплошное сканирование склада в согласованных границах</w:t>
            </w:r>
          </w:p>
        </w:tc>
        <w:tc>
          <w:tcPr>
            <w:tcW w:type="dxa" w:w="3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1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Сырые старые SSCC собраны без нормализации для последующей дезагрегации</w:t>
            </w:r>
          </w:p>
        </w:tc>
        <w:tc>
          <w:tcPr>
            <w:tcW w:type="dxa" w:w="3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1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Короба вскрывались и проверялись индивидуально</w:t>
            </w:r>
          </w:p>
        </w:tc>
        <w:tc>
          <w:tcPr>
            <w:tcW w:type="dxa" w:w="3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1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Зафиксированы продукты, партии и дата производства, указанная на продукции</w:t>
            </w:r>
          </w:p>
        </w:tc>
        <w:tc>
          <w:tcPr>
            <w:tcW w:type="dxa" w:w="3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1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Группы одинаковых SSCC сфотографированы и связаны с физическими номерами</w:t>
            </w:r>
          </w:p>
        </w:tc>
        <w:tc>
          <w:tcPr>
            <w:tcW w:type="dxa" w:w="3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1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Короба переформированы и получили новые уникальные SSCC из согласованного диапазона</w:t>
            </w:r>
          </w:p>
        </w:tc>
        <w:tc>
          <w:tcPr>
            <w:tcW w:type="dxa" w:w="3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1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Сформированы машинные отчёты и пакет доказательств</w:t>
            </w:r>
          </w:p>
        </w:tc>
        <w:tc>
          <w:tcPr>
            <w:tcW w:type="dxa" w:w="3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1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</w:tbl>
    <w:p>
      <w:pPr>
        <w:pStyle w:val="Heading1"/>
        <w:pageBreakBefore w:val="0"/>
      </w:pPr>
      <w:r>
        <w:t>4. Сводка количественных результатов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4800"/>
        <w:gridCol w:w="1850"/>
        <w:gridCol w:w="3100"/>
      </w:tblGrid>
      <w:tr>
        <w:trPr>
          <w:tblHeader w:val="true"/>
          <w:cantSplit/>
        </w:trPr>
        <w:tc>
          <w:tcPr>
            <w:tcW w:type="dxa" w:w="4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Показатель</w:t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Значение</w:t>
            </w:r>
          </w:p>
        </w:tc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Источник / файл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Физических коробов до переработки</w:t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Сканирований старых SSCC</w:t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Уникальных старых SSCC</w:t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Групп дублей SSCC</w:t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Физических коробов в группах дублей</w:t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Единиц продукции учтено</w:t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Новых коробов сформировано</w:t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Новых уникальных SSCC выдано</w:t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Исключений, требующих ручного решения</w:t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5. Результаты сверки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ВАЖНО · Итог считается подтверждённым только при наличии значения, машинного источника и статуса для каждого контроля. Разница 0 не должна переноситься из устного сообщения.</w:t>
            </w:r>
          </w:p>
        </w:tc>
      </w:tr>
    </w:tbl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2950"/>
        <w:gridCol w:w="1250"/>
        <w:gridCol w:w="1250"/>
        <w:gridCol w:w="1050"/>
        <w:gridCol w:w="1100"/>
        <w:gridCol w:w="2150"/>
      </w:tblGrid>
      <w:tr>
        <w:trPr>
          <w:tblHeader w:val="true"/>
          <w:cantSplit/>
        </w:trPr>
        <w:tc>
          <w:tcPr>
            <w:tcW w:type="dxa" w:w="29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Контроль</w:t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До / вход</w:t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После / выход</w:t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Разница</w:t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Источник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Физические короба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Старые SSCC: сканы / уникальные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Состав продукции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Новые короба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Новые SSCC: выдано / уникальные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Незакрытые исключения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</w:tbl>
    <w:p>
      <w:pPr>
        <w:pStyle w:val="Heading1"/>
        <w:pageBreakBefore w:val="0"/>
      </w:pPr>
      <w:r>
        <w:t>6. Выявленные дубли SSCC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1300"/>
        <w:gridCol w:w="1800"/>
        <w:gridCol w:w="1200"/>
        <w:gridCol w:w="2200"/>
        <w:gridCol w:w="325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Group ID</w:t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Физические короба</w:t>
            </w:r>
          </w:p>
        </w:tc>
        <w:tc>
          <w:tcPr>
            <w:tcW w:type="dxa" w:w="1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Количество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Photo IDs</w:t>
            </w:r>
          </w:p>
        </w:tc>
        <w:tc>
          <w:tcPr>
            <w:tcW w:type="dxa" w:w="3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Решение / ссылка на дезагрегацию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3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3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3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3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3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3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3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7. Ограничения интерпретации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7200"/>
        <w:gridCol w:w="2550"/>
      </w:tblGrid>
      <w:tr>
        <w:trPr>
          <w:tblHeader w:val="true"/>
          <w:cantSplit/>
        </w:trPr>
        <w:tc>
          <w:tcPr>
            <w:tcW w:type="dxa" w:w="7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Утверждение</w:t>
            </w:r>
          </w:p>
        </w:tc>
        <w:tc>
          <w:tcPr>
            <w:tcW w:type="dxa" w:w="2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Подтверждение сторон</w:t>
            </w:r>
          </w:p>
        </w:tc>
      </w:tr>
      <w:tr>
        <w:trPr>
          <w:cantSplit/>
        </w:trPr>
        <w:tc>
          <w:tcPr>
            <w:tcW w:type="dxa" w:w="7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До внедрения отсутствовала сопоставимая телеметрия, поэтому количественный baseline ограничен сохранившимися файлами и подтверждёнными наблюдениями.</w:t>
              <w:br/>
            </w:r>
          </w:p>
        </w:tc>
        <w:tc>
          <w:tcPr>
            <w:tcW w:type="dxa" w:w="2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Согласовано: ______</w:t>
              <w:br/>
            </w:r>
          </w:p>
        </w:tc>
      </w:tr>
      <w:tr>
        <w:trPr>
          <w:cantSplit/>
        </w:trPr>
        <w:tc>
          <w:tcPr>
            <w:tcW w:type="dxa" w:w="7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Показатели операции описывают одну площадку и один период; они не экстраполируются автоматически на другие предприятия.</w:t>
              <w:br/>
            </w:r>
          </w:p>
        </w:tc>
        <w:tc>
          <w:tcPr>
            <w:tcW w:type="dxa" w:w="2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Согласовано: ______</w:t>
              <w:br/>
            </w:r>
          </w:p>
        </w:tc>
      </w:tr>
      <w:tr>
        <w:trPr>
          <w:cantSplit/>
        </w:trPr>
        <w:tc>
          <w:tcPr>
            <w:tcW w:type="dxa" w:w="7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Причинный эффект системы отделяется от ручной инвентаризации только там, где это подтверждено дизайном измерения и первичными данными.</w:t>
              <w:br/>
            </w:r>
          </w:p>
        </w:tc>
        <w:tc>
          <w:tcPr>
            <w:tcW w:type="dxa" w:w="2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Согласовано: ______</w:t>
              <w:br/>
            </w:r>
          </w:p>
        </w:tc>
      </w:tr>
      <w:tr>
        <w:trPr>
          <w:cantSplit/>
        </w:trPr>
        <w:tc>
          <w:tcPr>
            <w:tcW w:type="dxa" w:w="7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Фото, raw-сканы и персональные данные используются только в согласованном объёме; публичные материалы подлежат обезличиванию.</w:t>
              <w:br/>
            </w:r>
          </w:p>
        </w:tc>
        <w:tc>
          <w:tcPr>
            <w:tcW w:type="dxa" w:w="2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Согласовано: ______</w:t>
              <w:br/>
            </w:r>
          </w:p>
        </w:tc>
      </w:tr>
    </w:tbl>
    <w:p>
      <w:pPr>
        <w:spacing w:before="40" w:after="20" w:line="240" w:lineRule="auto"/>
      </w:pPr>
      <w:r>
        <w:rPr>
          <w:rFonts w:ascii="IBM Plex Sans" w:hAnsi="IBM Plex Sans" w:eastAsia="IBM Plex Sans"/>
          <w:b/>
          <w:color w:val="1B1F23"/>
          <w:sz w:val="17"/>
        </w:rPr>
        <w:t xml:space="preserve">Иные ограничения / разногласия: </w:t>
      </w: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p>
      <w:pPr>
        <w:pStyle w:val="Heading1"/>
        <w:pageBreakBefore w:val="0"/>
      </w:pPr>
      <w:r>
        <w:t>8. Приёмка результата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7200"/>
        <w:gridCol w:w="2550"/>
      </w:tblGrid>
      <w:tr>
        <w:trPr>
          <w:tblHeader w:val="true"/>
          <w:cantSplit/>
        </w:trPr>
        <w:tc>
          <w:tcPr>
            <w:tcW w:type="dxa" w:w="7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Решение заказчика</w:t>
            </w:r>
          </w:p>
        </w:tc>
        <w:tc>
          <w:tcPr>
            <w:tcW w:type="dxa" w:w="2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Отметка</w:t>
            </w:r>
          </w:p>
        </w:tc>
      </w:tr>
      <w:tr>
        <w:trPr>
          <w:cantSplit/>
        </w:trPr>
        <w:tc>
          <w:tcPr>
            <w:tcW w:type="dxa" w:w="7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Результат принят без замечаний</w:t>
              <w:br/>
            </w:r>
          </w:p>
        </w:tc>
        <w:tc>
          <w:tcPr>
            <w:tcW w:type="dxa" w:w="2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ДА / НЕТ</w:t>
              <w:br/>
            </w:r>
          </w:p>
        </w:tc>
      </w:tr>
      <w:tr>
        <w:trPr>
          <w:cantSplit/>
        </w:trPr>
        <w:tc>
          <w:tcPr>
            <w:tcW w:type="dxa" w:w="7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Результат принят с замечаниями, перечисленными ниже</w:t>
              <w:br/>
            </w:r>
          </w:p>
        </w:tc>
        <w:tc>
          <w:tcPr>
            <w:tcW w:type="dxa" w:w="2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ДА / НЕТ</w:t>
              <w:br/>
            </w:r>
          </w:p>
        </w:tc>
      </w:tr>
      <w:tr>
        <w:trPr>
          <w:cantSplit/>
        </w:trPr>
        <w:tc>
          <w:tcPr>
            <w:tcW w:type="dxa" w:w="7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Требуется дополнительная сверка до подписания финального результата</w:t>
              <w:br/>
            </w:r>
          </w:p>
        </w:tc>
        <w:tc>
          <w:tcPr>
            <w:tcW w:type="dxa" w:w="2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ДА / НЕТ</w:t>
              <w:br/>
            </w:r>
          </w:p>
        </w:tc>
      </w:tr>
    </w:tbl>
    <w:p>
      <w:pPr>
        <w:spacing w:before="40" w:after="20" w:line="240" w:lineRule="auto"/>
      </w:pPr>
      <w:r>
        <w:rPr>
          <w:rFonts w:ascii="IBM Plex Sans" w:hAnsi="IBM Plex Sans" w:eastAsia="IBM Plex Sans"/>
          <w:b/>
          <w:color w:val="1B1F23"/>
          <w:sz w:val="17"/>
        </w:rPr>
        <w:t xml:space="preserve">Замечания и срок устранения: </w:t>
      </w: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9. Согласие на указание заказчика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ВАЖНО · Это согласие независимо от согласия на обезличенную аналитику. Отсутствие отметки означает запрет.</w:t>
            </w:r>
          </w:p>
        </w:tc>
      </w:tr>
    </w:tbl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500"/>
        <w:gridCol w:w="6250"/>
      </w:tblGrid>
      <w:tr>
        <w:trPr>
          <w:tblHeader w:val="true"/>
          <w:cantSplit/>
        </w:trPr>
        <w:tc>
          <w:tcPr>
            <w:tcW w:type="dxa" w:w="3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Параметр</w:t>
            </w:r>
          </w:p>
        </w:tc>
        <w:tc>
          <w:tcPr>
            <w:tcW w:type="dxa" w:w="6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Разрешение</w:t>
              <w:br/>
            </w:r>
          </w:p>
        </w:tc>
        <w:tc>
          <w:tcPr>
            <w:tcW w:type="dxa" w:w="6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ДА / НЕТ</w:t>
              <w:br/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Допустимое наименование заказчика</w:t>
              <w:br/>
            </w:r>
          </w:p>
        </w:tc>
        <w:tc>
          <w:tcPr>
            <w:tcW w:type="dxa" w:w="6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Разрешённые каналы</w:t>
              <w:br/>
            </w:r>
          </w:p>
        </w:tc>
        <w:tc>
          <w:tcPr>
            <w:tcW w:type="dxa" w:w="6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презентации / сайт / коммерческие предложения / публикации / иное: __________</w:t>
              <w:br/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Разрешённая формулировка роли</w:t>
              <w:br/>
            </w:r>
          </w:p>
        </w:tc>
        <w:tc>
          <w:tcPr>
            <w:tcW w:type="dxa" w:w="6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Срок / условия отзыва</w:t>
              <w:br/>
            </w:r>
          </w:p>
        </w:tc>
        <w:tc>
          <w:tcPr>
            <w:tcW w:type="dxa" w:w="6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</w:tbl>
    <w:p>
      <w:pPr>
        <w:pStyle w:val="Heading1"/>
        <w:pageBreakBefore w:val="0"/>
      </w:pPr>
      <w:r>
        <w:t>10. Согласие на обезличенную аналитику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500"/>
        <w:gridCol w:w="6250"/>
      </w:tblGrid>
      <w:tr>
        <w:trPr>
          <w:tblHeader w:val="true"/>
          <w:cantSplit/>
        </w:trPr>
        <w:tc>
          <w:tcPr>
            <w:tcW w:type="dxa" w:w="3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Параметр</w:t>
            </w:r>
          </w:p>
        </w:tc>
        <w:tc>
          <w:tcPr>
            <w:tcW w:type="dxa" w:w="6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Разрешение</w:t>
              <w:br/>
            </w:r>
          </w:p>
        </w:tc>
        <w:tc>
          <w:tcPr>
            <w:tcW w:type="dxa" w:w="6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ДА / НЕТ</w:t>
              <w:br/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Допустимые агрегированные показатели</w:t>
              <w:br/>
            </w:r>
          </w:p>
        </w:tc>
        <w:tc>
          <w:tcPr>
            <w:tcW w:type="dxa" w:w="6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Запрещённые сведения / квази-идентификаторы</w:t>
              <w:br/>
            </w:r>
          </w:p>
        </w:tc>
        <w:tc>
          <w:tcPr>
            <w:tcW w:type="dxa" w:w="6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Допустимые цели</w:t>
              <w:br/>
            </w:r>
          </w:p>
        </w:tc>
        <w:tc>
          <w:tcPr>
            <w:tcW w:type="dxa" w:w="6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оценка эффективности / исследования / презентации / заявительные материалы / иное: ______</w:t>
              <w:br/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Минимальный порог агрегации / срок</w:t>
              <w:br/>
            </w:r>
          </w:p>
        </w:tc>
        <w:tc>
          <w:tcPr>
            <w:tcW w:type="dxa" w:w="6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</w:tbl>
    <w:p>
      <w:pPr>
        <w:spacing w:before="40" w:after="20" w:line="240" w:lineRule="auto"/>
      </w:pPr>
      <w:r>
        <w:rPr>
          <w:rFonts w:ascii="IBM Plex Sans" w:hAnsi="IBM Plex Sans" w:eastAsia="IBM Plex Sans"/>
          <w:b/>
          <w:color w:val="1B1F23"/>
          <w:sz w:val="17"/>
        </w:rPr>
        <w:t xml:space="preserve">Особые условия обезличивания: </w:t>
      </w: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11. Подписи и свидетельство целостности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000"/>
        <w:gridCol w:w="6750"/>
      </w:tblGrid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Итоговый manifest ID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SHA-256 финального пакета / manifest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Место подписания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Дата и время подписания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</w:tbl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2600"/>
        <w:gridCol w:w="2850"/>
        <w:gridCol w:w="2100"/>
        <w:gridCol w:w="220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Сторона / роль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ФИО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Подпись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Дата и время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Представитель заказчика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Руководитель операции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Независимый свидетель хеша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ВАЖНО · Подписанты подтверждают заполненные факты и собственные решения о согласиях. Подпись не распространяется на пустые поля и материалы, не перечисленные в акте.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500" w:right="1250" w:bottom="1500" w:left="1250" w:header="560" w:footer="48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60"/>
    </w:pPr>
    <w:r>
      <w:drawing>
        <wp:inline distT="0" distB="0" distL="0" distR="0">
          <wp:extent cx="47625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750"/>
      </w:tabs>
      <w:spacing w:after="0"/>
    </w:pPr>
    <w:r>
      <w:rPr>
        <w:rFonts w:ascii="IBM Plex Mono" w:cs="IBM Plex Mono" w:eastAsia="IBM Plex Mono" w:hAnsi="IBM Plex Mono"/>
        <w:b w:val="false"/>
        <w:bCs w:val="false"/>
        <w:caps/>
        <w:color w:val="7C858F"/>
        <w:spacing w:val="20"/>
        <w:sz w:val="13"/>
        <w:szCs w:val="13"/>
      </w:rPr>
      <w:t xml:space="preserve">v-b.tech · systems that keep working when wi-fi doesn’t</w:t>
    </w:r>
    <w:r>
      <w:t xml:space="preserve">	</w:t>
    </w:r>
    <w:r>
      <w:rPr>
        <w:rFonts w:ascii="IBM Plex Mono" w:cs="IBM Plex Mono" w:eastAsia="IBM Plex Mono" w:hAnsi="IBM Plex Mono"/>
        <w:color w:val="5A626B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60"/>
    </w:pPr>
    <w:r>
      <w:drawing>
        <wp:inline distT="0" distB="0" distL="0" distR="0">
          <wp:extent cx="47625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750"/>
      </w:tabs>
      <w:spacing w:after="0"/>
    </w:pPr>
    <w:r>
      <w:rPr>
        <w:rFonts w:ascii="IBM Plex Mono" w:cs="IBM Plex Mono" w:eastAsia="IBM Plex Mono" w:hAnsi="IBM Plex Mono"/>
        <w:b w:val="false"/>
        <w:bCs w:val="false"/>
        <w:caps/>
        <w:color w:val="7C858F"/>
        <w:spacing w:val="20"/>
        <w:sz w:val="13"/>
        <w:szCs w:val="13"/>
      </w:rPr>
      <w:t xml:space="preserve">v-b.tech · systems that keep working when wi-fi doesn’t</w:t>
    </w:r>
    <w:r>
      <w:t xml:space="preserve">	</w:t>
    </w:r>
    <w:r>
      <w:rPr>
        <w:rFonts w:ascii="IBM Plex Mono" w:cs="IBM Plex Mono" w:eastAsia="IBM Plex Mono" w:hAnsi="IBM Plex Mono"/>
        <w:color w:val="5A626B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0D5" w:sz="4"/>
      </w:pBdr>
      <w:tabs>
        <w:tab w:val="right" w:pos="9750"/>
      </w:tabs>
      <w:spacing w:after="60"/>
    </w:pPr>
    <w:r>
      <w:rPr>
        <w:rFonts w:ascii="IBM Plex Mono" w:cs="IBM Plex Mono" w:eastAsia="IBM Plex Mono" w:hAnsi="IBM Plex Mono"/>
        <w:b/>
        <w:bCs/>
        <w:color w:val="101214"/>
        <w:sz w:val="20"/>
        <w:szCs w:val="20"/>
      </w:rPr>
      <w:t xml:space="preserve">v</w:t>
    </w:r>
    <w:r>
      <w:drawing>
        <wp:inline distT="0" distB="0" distL="0" distR="0">
          <wp:extent cx="85725" cy="123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b/>
        <w:bCs/>
        <w:color w:val="101214"/>
        <w:sz w:val="20"/>
        <w:szCs w:val="20"/>
      </w:rPr>
      <w:t xml:space="preserve">b</w:t>
    </w:r>
    <w:r>
      <w:rPr>
        <w:rFonts w:ascii="IBM Plex Mono" w:cs="IBM Plex Mono" w:eastAsia="IBM Plex Mono" w:hAnsi="IBM Plex Mono"/>
        <w:b/>
        <w:bCs/>
        <w:color w:val="7C858F"/>
        <w:sz w:val="20"/>
        <w:szCs w:val="20"/>
      </w:rPr>
      <w:t xml:space="preserve">.tech</w:t>
    </w:r>
    <w:r>
      <w:t xml:space="preserve">	</w:t>
    </w:r>
    <w:r>
      <w:rPr>
        <w:rFonts w:ascii="IBM Plex Mono" w:cs="IBM Plex Mono" w:eastAsia="IBM Plex Mono" w:hAnsi="IBM Plex Mono"/>
        <w:b w:val="false"/>
        <w:bCs w:val="false"/>
        <w:caps/>
        <w:color w:val="7C858F"/>
        <w:spacing w:val="30"/>
        <w:sz w:val="13"/>
        <w:szCs w:val="13"/>
      </w:rPr>
      <w:t xml:space="preserve">doc · v-b.tech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50"/>
      </w:tabs>
      <w:spacing w:after="60"/>
    </w:pPr>
    <w:r>
      <w:rPr>
        <w:rFonts w:ascii="IBM Plex Mono" w:cs="IBM Plex Mono" w:eastAsia="IBM Plex Mono" w:hAnsi="IBM Plex Mono"/>
        <w:b/>
        <w:bCs/>
        <w:color w:val="101214"/>
        <w:sz w:val="30"/>
        <w:szCs w:val="30"/>
      </w:rPr>
      <w:t xml:space="preserve">v</w:t>
    </w:r>
    <w:r>
      <w:drawing>
        <wp:inline distT="0" distB="0" distL="0" distR="0">
          <wp:extent cx="13335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b/>
        <w:bCs/>
        <w:color w:val="101214"/>
        <w:sz w:val="30"/>
        <w:szCs w:val="30"/>
      </w:rPr>
      <w:t xml:space="preserve">b</w:t>
    </w:r>
    <w:r>
      <w:rPr>
        <w:rFonts w:ascii="IBM Plex Mono" w:cs="IBM Plex Mono" w:eastAsia="IBM Plex Mono" w:hAnsi="IBM Plex Mono"/>
        <w:b/>
        <w:bCs/>
        <w:color w:val="7C858F"/>
        <w:sz w:val="30"/>
        <w:szCs w:val="30"/>
      </w:rPr>
      <w:t xml:space="preserve">.tech</w:t>
    </w:r>
    <w:r>
      <w:t xml:space="preserve">	</w:t>
    </w:r>
    <w:r>
      <w:rPr>
        <w:rFonts w:ascii="IBM Plex Mono" w:cs="IBM Plex Mono" w:eastAsia="IBM Plex Mono" w:hAnsi="IBM Plex Mono"/>
        <w:b w:val="false"/>
        <w:bCs w:val="false"/>
        <w:caps/>
        <w:color w:val="7C858F"/>
        <w:spacing w:val="30"/>
        <w:sz w:val="14"/>
        <w:szCs w:val="14"/>
      </w:rPr>
      <w:t xml:space="preserve">software for physical operations</w:t>
    </w:r>
  </w:p>
  <w:p>
    <w:pPr>
      <w:pBdr>
        <w:bottom w:val="single" w:color="101214" w:sz="6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300"/>
      </w:pPr>
      <w:rPr>
        <w:rFonts w:ascii="IBM Plex Mono" w:cs="IBM Plex Mono" w:eastAsia="IBM Plex Mono" w:hAnsi="IBM Plex Mono"/>
        <w:color w:val="D98E04"/>
      </w:rPr>
    </w:lvl>
  </w:abstractNum>
  <w:abstractNum w:abstractNumId="3" w15:restartNumberingAfterBreak="0">
    <w:multiLevelType w:val="hybridMultilevel"/>
    <w:lvl w:ilvl="0" w15:tentative="1">
      <w:start w:val="1"/>
      <w:numFmt w:val="decimalZero"/>
      <w:lvlText w:val="%1"/>
      <w:lvlJc w:val="left"/>
      <w:pPr>
        <w:ind w:left="480" w:hanging="340"/>
      </w:pPr>
      <w:rPr>
        <w:rFonts w:ascii="IBM Plex Mono" w:cs="IBM Plex Mono" w:eastAsia="IBM Plex Mono" w:hAnsi="IBM Plex Mono"/>
        <w:b/>
        <w:bCs/>
        <w:color w:val="D98E0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B1F23"/>
        <w:sz w:val="21"/>
        <w:szCs w:val="21"/>
      </w:rPr>
    </w:rPrDefault>
    <w:pPrDefault>
      <w:pPr>
        <w:spacing w:after="14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0" w:line="240"/>
    </w:pPr>
    <w:rPr>
      <w:rFonts w:ascii="IBM Plex Sans" w:cs="IBM Plex Sans" w:eastAsia="IBM Plex Sans" w:hAnsi="IBM Plex Sans"/>
      <w:b/>
      <w:bCs/>
      <w:color w:val="101214"/>
      <w:sz w:val="56"/>
      <w:szCs w:val="56"/>
    </w:rPr>
  </w:style>
  <w:style w:type="paragraph" w:styleId="Eyebrow">
    <w:name w:val="Eyebrow"/>
    <w:basedOn w:val="Normal"/>
    <w:next w:val="Title"/>
    <w:pPr>
      <w:spacing w:after="120" w:before="240"/>
    </w:pPr>
    <w:rPr>
      <w:rFonts w:ascii="IBM Plex Mono" w:cs="IBM Plex Mono" w:eastAsia="IBM Plex Mono" w:hAnsi="IBM Plex Mono"/>
      <w:caps/>
      <w:color w:val="D98E04"/>
      <w:spacing w:val="40"/>
      <w:sz w:val="17"/>
      <w:szCs w:val="17"/>
    </w:rPr>
  </w:style>
  <w:style w:type="paragraph" w:styleId="MetaLine">
    <w:name w:val="Meta Line"/>
    <w:basedOn w:val="Normal"/>
    <w:next w:val="Normal"/>
    <w:pPr>
      <w:spacing w:after="480"/>
    </w:pPr>
    <w:rPr>
      <w:rFonts w:ascii="IBM Plex Mono" w:cs="IBM Plex Mono" w:eastAsia="IBM Plex Mono" w:hAnsi="IBM Plex Mono"/>
      <w:color w:val="5A626B"/>
      <w:sz w:val="16"/>
      <w:szCs w:val="16"/>
    </w:rPr>
  </w:style>
  <w:style w:type="paragraph" w:styleId="Heading1">
    <w:name w:val="Heading 1"/>
    <w:basedOn w:val="Normal"/>
    <w:next w:val="Normal"/>
    <w:qFormat/>
    <w:pPr>
      <w:pBdr>
        <w:bottom w:val="single" w:color="F5A623" w:sz="12" w:space="6"/>
      </w:pBdr>
      <w:spacing w:after="160" w:before="420" w:line="260"/>
      <w:outlineLvl w:val="0"/>
    </w:pPr>
    <w:rPr>
      <w:rFonts w:ascii="IBM Plex Sans" w:cs="IBM Plex Sans" w:eastAsia="IBM Plex Sans" w:hAnsi="IBM Plex Sans"/>
      <w:b/>
      <w:bCs/>
      <w:color w:val="1012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IBM Plex Sans" w:cs="IBM Plex Sans" w:eastAsia="IBM Plex Sans" w:hAnsi="IBM Plex Sans"/>
      <w:b/>
      <w:bCs/>
      <w:color w:val="10121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IBM Plex Mono" w:cs="IBM Plex Mono" w:eastAsia="IBM Plex Mono" w:hAnsi="IBM Plex Mono"/>
      <w:b/>
      <w:bCs/>
      <w:caps/>
      <w:color w:val="D98E04"/>
      <w:spacing w:val="25"/>
      <w:sz w:val="19"/>
      <w:szCs w:val="19"/>
    </w:rPr>
  </w:style>
  <w:style w:type="paragraph" w:styleId="BrandQuote">
    <w:name w:val="Brand Quote"/>
    <w:basedOn w:val="Normal"/>
    <w:next w:val="Normal"/>
    <w:qFormat/>
    <w:pPr>
      <w:pBdr>
        <w:left w:val="single" w:color="F5A623" w:sz="18" w:space="16"/>
      </w:pBdr>
      <w:spacing w:after="200" w:before="200" w:line="320"/>
      <w:ind w:left="360"/>
    </w:pPr>
    <w:rPr>
      <w:rFonts w:ascii="IBM Plex Sans" w:cs="IBM Plex Sans" w:eastAsia="IBM Plex Sans" w:hAnsi="IBM Plex Sans"/>
      <w:color w:val="5A626B"/>
      <w:sz w:val="23"/>
      <w:szCs w:val="23"/>
    </w:rPr>
  </w:style>
  <w:style w:type="paragraph" w:styleId="CodeBlock">
    <w:name w:val="Code Block"/>
    <w:basedOn w:val="Normal"/>
    <w:next w:val="Normal"/>
    <w:qFormat/>
    <w:pPr>
      <w:pBdr>
        <w:top w:val="single" w:color="CBD0D5" w:sz="4"/>
        <w:bottom w:val="single" w:color="CBD0D5" w:sz="4"/>
        <w:left w:val="single" w:color="CBD0D5" w:sz="4"/>
        <w:right w:val="single" w:color="CBD0D5" w:sz="4"/>
      </w:pBdr>
      <w:shd w:fill="F0F1EE" w:val="clear"/>
      <w:spacing w:after="160" w:before="160" w:line="300"/>
      <w:ind w:left="240" w:right="240"/>
    </w:pPr>
    <w:rPr>
      <w:rFonts w:ascii="IBM Plex Mono" w:cs="IBM Plex Mono" w:eastAsia="IBM Plex Mono" w:hAnsi="IBM Plex Mono"/>
      <w:color w:val="1B1F23"/>
      <w:sz w:val="18"/>
      <w:szCs w:val="18"/>
    </w:rPr>
  </w:style>
  <w:style w:type="paragraph" w:styleId="Caption">
    <w:name w:val="Caption"/>
    <w:basedOn w:val="Normal"/>
    <w:next w:val="Normal"/>
    <w:qFormat/>
    <w:pPr>
      <w:spacing w:after="200" w:before="60"/>
    </w:pPr>
    <w:rPr>
      <w:rFonts w:ascii="IBM Plex Mono" w:cs="IBM Plex Mono" w:eastAsia="IBM Plex Mono" w:hAnsi="IBM Plex Mono"/>
      <w:caps/>
      <w:color w:val="7C858F"/>
      <w:spacing w:val="30"/>
      <w:sz w:val="15"/>
      <w:szCs w:val="1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7067515aa3123a3fb6002d63306583a7f8ca740d.png"/></Relationships>
</file>

<file path=word/_rels/footer2.xml.rels><?xml version='1.0' encoding='UTF-8' standalone='yes'?>
<Relationships xmlns="http://schemas.openxmlformats.org/package/2006/relationships"><Relationship Id="rId0" Type="http://schemas.openxmlformats.org/officeDocument/2006/relationships/image" Target="media/7067515aa3123a3fb6002d63306583a7f8ca740d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a8cd8967b849d221892d388e2aee6fde32de2bc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ba8cd8967b849d221892d388e2aee6fde32de2b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проведения инвентаризации и согласия заказчика</dc:title>
  <dc:creator>v-b.tech · Markiro</dc:creator>
  <cp:lastModifiedBy>Un-named</cp:lastModifiedBy>
  <cp:revision>1</cp:revision>
  <dcterms:created xsi:type="dcterms:W3CDTF">2026-08-21T06:32:59.074Z</dcterms:created>
  <dcterms:modified xsi:type="dcterms:W3CDTF">2026-08-21T06:32:59.075Z</dcterms:modified>
  <dc:subject>Подтверждение исходного состояния и результатов</dc:subject>
  <cp:keywords>Markiro, inventory, evidence, SSCC, customer rollout</cp:keywords>
  <dc:description>Blank operational form. Contains no customer personal data.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