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>EVIDENCE CLOSURE · CUSTODY</w:t>
      </w:r>
    </w:p>
    <w:p>
      <w:pPr>
        <w:pStyle w:val="Title"/>
      </w:pPr>
      <w:r>
        <w:t>Закрытие и хранение</w:t>
        <w:br/>
        <w:t>доказательств</w:t>
      </w:r>
    </w:p>
    <w:p>
      <w:pPr>
        <w:pStyle w:val="MetaLine"/>
      </w:pPr>
      <w:r>
        <w:t>22–23.08.2026 · custody-record-v1 · v1.0</w:t>
      </w:r>
    </w:p>
    <w:p>
      <w:pPr>
        <w:pStyle w:val="BrandQuote"/>
      </w:pPr>
      <w:r>
        <w:t>Контроль финальной сверки, неизменности пакета, проверяемости копий и разделения ответственности за хранение и ключи.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100"/>
        <w:gridCol w:w="6650"/>
      </w:tblGrid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Заказчик / площадка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operationId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Период проведения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22–23.08.2026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Ответственный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Код документа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>INV-P0-CUSTODY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Версия формы</w:t>
            </w:r>
          </w:p>
        </w:tc>
        <w:tc>
          <w:tcPr>
            <w:tcW w:type="dxa" w:w="6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>1.0</w:t>
            </w:r>
          </w:p>
        </w:tc>
      </w:tr>
    </w:tbl>
    <w:p>
      <w:pPr>
        <w:spacing w:before="160" w:after="0" w:line="240" w:lineRule="auto"/>
      </w:pPr>
      <w:r>
        <w:rPr>
          <w:rFonts w:ascii="IBM Plex Mono" w:hAnsi="IBM Plex Mono" w:eastAsia="IBM Plex Mono"/>
          <w:b/>
          <w:color w:val="D98E04"/>
          <w:sz w:val="17"/>
        </w:rPr>
        <w:t>РАБОЧАЯ ФОРМА · заполняется разборчиво; исправления заверяются подписью и временем.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1D6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СТОП-КОНТРОЛЬ · Финально заполненный custody record хранится ВНЕ запечатанного evidence package и ВНЕ обеих его копий. Внутри пакета допускается только незаполненный шаблон.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1. Паспорт закрытия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Заказчик / площадка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operationId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Custody record ID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Версия протокола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>inventory-recovery-v1 / 1.0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Ответственный за закрытие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Независимый проверяющий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Дата и время начала закрытия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Дата и время финальной фиксации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</w:tbl>
    <w:p>
      <w:pPr>
        <w:pStyle w:val="Heading1"/>
        <w:pageBreakBefore w:val="0"/>
      </w:pPr>
      <w:r>
        <w:t>2. Предзапечаточная проверка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4700"/>
        <w:gridCol w:w="1250"/>
        <w:gridCol w:w="1800"/>
        <w:gridCol w:w="2000"/>
      </w:tblGrid>
      <w:tr>
        <w:trPr>
          <w:tblHeader w:val="true"/>
          <w:cantSplit/>
        </w:trPr>
        <w:tc>
          <w:tcPr>
            <w:tcW w:type="dxa" w:w="4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Контроль</w:t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Проверил / время</w:t>
            </w:r>
          </w:p>
        </w:tc>
        <w:tc>
          <w:tcPr>
            <w:tcW w:type="dxa" w:w="2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Evidence ID / примечание</w:t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Raw-файл старых SSCC сохранён без нормализации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Реестр физических коробов завершён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Фото дублей связаны с group ID и raw refs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Reconciliation CSV завершён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Consent JSON соответствует подписанным решениям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Production-date proof содержит 6 поверхностей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Manifest содержит все файлы и хеши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47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Финальный custody record исключён из пакета</w:t>
              <w:br/>
            </w:r>
          </w:p>
        </w:tc>
        <w:tc>
          <w:tcPr>
            <w:tcW w:type="dxa" w:w="12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3. Сводка машинной сверки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1100"/>
        <w:gridCol w:w="1100"/>
        <w:gridCol w:w="1100"/>
        <w:gridCol w:w="1100"/>
        <w:gridCol w:w="235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Контроль</w:t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Вход</w:t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Выход</w:t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Разница</w:t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2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Источник / digest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Физические короба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Старые SSCC: сканы / уникальные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Состав продукции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Новые короба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Новые SSCC: выдано / уникальные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Незакрытые исключения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3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</w:tbl>
    <w:p>
      <w:pPr>
        <w:pStyle w:val="Heading1"/>
        <w:pageBreakBefore w:val="0"/>
      </w:pPr>
      <w:r>
        <w:t>4. Исходный пакет и manifest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Логическое имя пакета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Физическое расположение source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Manifest filename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Manifest SHA-256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Количество файлов по manifest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Суммарный размер, байт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Команда / инструмент проверки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Результат проверки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PASS / FAIL / NOT_RUN</w:t>
            </w:r>
          </w:p>
        </w:tc>
      </w:tr>
    </w:tbl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Несоответствия и принятое решение: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5. Копия A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Расположение копии A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Хранитель / организация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Носитель / система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Шифрование at rest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ДА / НЕТ; метод: 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Хранитель ключа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Метод управления ключом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Защищённый транспорт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Дата и время копирования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Копия открыта / расшифрована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PASS / FAIL / NOT_RUN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Digest совпал с source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PASS / FAIL / NOT_RUN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Проверено файлов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Проверяющий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</w:tbl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Ошибки проверки / повторное копирование: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2600"/>
        <w:gridCol w:w="2850"/>
        <w:gridCol w:w="2100"/>
        <w:gridCol w:w="220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Сторона / роль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ФИО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Подпись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Дата и время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Хранитель копии A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Проверяющий копии A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6. Копия B</w:t>
      </w:r>
    </w:p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Расположение копии B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Хранитель / организация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Носитель / система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Шифрование at rest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ДА / НЕТ; метод: 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Хранитель ключа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Метод управления ключом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Защищённый транспорт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Дата и время копирования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Копия открыта / расшифрована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PASS / FAIL / NOT_RUN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Digest совпал с source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>PASS / FAIL / NOT_RUN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Проверено файлов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Проверяющий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</w:tbl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Ошибки проверки / повторное копирование: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2600"/>
        <w:gridCol w:w="2850"/>
        <w:gridCol w:w="2100"/>
        <w:gridCol w:w="220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Сторона / роль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ФИО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Подпись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Дата и время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Хранитель копии B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Проверяющий копии B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</w:tr>
    </w:tbl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7. Разделение хранения и доступ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600"/>
        <w:gridCol w:w="1850"/>
        <w:gridCol w:w="1850"/>
        <w:gridCol w:w="2450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Контроль</w:t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Копия A</w:t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Копия B</w:t>
            </w:r>
          </w:p>
        </w:tc>
        <w:tc>
          <w:tcPr>
            <w:tcW w:type="dxa" w:w="2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Статус / пояснение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Физические / логические места различаются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Отказ одного места не уничтожает обе копии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Ключ не хранится рядом с зашифрованной копией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Права доступа минимальны и перечислены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Период повторной проверки определён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Процедура восстановления проверяема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1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  <w:tc>
          <w:tcPr>
            <w:tcW w:type="dxa" w:w="24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3000"/>
        <w:gridCol w:w="6750"/>
      </w:tblGrid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Следующая дата проверки целостности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Ответственный за повторную проверку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Срок хранения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7"/>
              </w:rPr>
              <w:t>Основание удаления / продления</w:t>
            </w:r>
          </w:p>
        </w:tc>
        <w:tc>
          <w:tcPr>
            <w:tcW w:type="dxa" w:w="6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8"/>
              </w:rPr>
              <w:t xml:space="preserve"> </w:t>
              <w:br/>
            </w:r>
          </w:p>
        </w:tc>
      </w:tr>
    </w:tbl>
    <w:p>
      <w:pPr>
        <w:spacing w:before="40" w:after="20" w:line="240" w:lineRule="auto"/>
      </w:pPr>
      <w:r>
        <w:rPr>
          <w:rFonts w:ascii="IBM Plex Sans" w:hAnsi="IBM Plex Sans" w:eastAsia="IBM Plex Sans"/>
          <w:b/>
          <w:color w:val="1B1F23"/>
          <w:sz w:val="17"/>
        </w:rPr>
        <w:t xml:space="preserve">Перечень лиц с доступом: </w:t>
      </w: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IBM Plex Sans" w:hAnsi="IBM Plex Sans" w:eastAsia="IBM Plex Sans"/>
          <w:color w:val="5F666D"/>
          <w:sz w:val="17"/>
        </w:rPr>
        <w:t>______________________________________________________________________________________________________________________</w:t>
      </w:r>
    </w:p>
    <w:p>
      <w:r>
        <w:br w:type="page"/>
      </w:r>
    </w:p>
    <w:p>
      <w:pPr>
        <w:spacing w:before="0" w:after="120" w:line="240" w:lineRule="auto"/>
      </w:pPr>
      <w:r>
        <w:rPr>
          <w:rFonts w:ascii="IBM Plex Sans" w:hAnsi="IBM Plex Sans" w:eastAsia="IBM Plex Sans"/>
          <w:color w:val="FFFFFF"/>
          <w:sz w:val="36"/>
        </w:rPr>
        <w:t xml:space="preserve"> </w:t>
      </w:r>
    </w:p>
    <w:p>
      <w:pPr>
        <w:pStyle w:val="Heading1"/>
        <w:pageBreakBefore w:val="0"/>
      </w:pPr>
      <w:r>
        <w:t>8. Инциденты и финальное решение</w:t>
      </w:r>
    </w:p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1200"/>
        <w:gridCol w:w="1400"/>
        <w:gridCol w:w="2650"/>
        <w:gridCol w:w="1550"/>
        <w:gridCol w:w="2050"/>
        <w:gridCol w:w="90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Incident ID</w:t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Время</w:t>
            </w:r>
          </w:p>
        </w:tc>
        <w:tc>
          <w:tcPr>
            <w:tcW w:type="dxa" w:w="2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Описание</w:t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Затронутая копия</w:t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Решение</w:t>
            </w:r>
          </w:p>
        </w:tc>
        <w:tc>
          <w:tcPr>
            <w:tcW w:type="dxa" w:w="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Статус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2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2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2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2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Mono" w:hAnsi="IBM Plex Mono" w:eastAsia="IBM Plex Mono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14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26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15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20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  <w:tc>
          <w:tcPr>
            <w:tcW w:type="dxa" w:w="9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 xml:space="preserve"> </w:t>
              <w:br/>
              <w:br/>
            </w:r>
          </w:p>
        </w:tc>
      </w:tr>
    </w:tbl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7600"/>
        <w:gridCol w:w="2150"/>
      </w:tblGrid>
      <w:tr>
        <w:trPr>
          <w:tblHeader w:val="true"/>
          <w:cantSplit/>
        </w:trPr>
        <w:tc>
          <w:tcPr>
            <w:tcW w:type="dxa" w:w="7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Финальное условие</w:t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Статус</w:t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Source package соответствует manifest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PASS / FAIL / NOT_RUN</w:t>
              <w:br/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Копия A открыта и digest совпадает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PASS / FAIL / NOT_RUN</w:t>
              <w:br/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Копия B открыта и digest совпадает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PASS / FAIL / NOT_RUN</w:t>
              <w:br/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Custody record сохранён отдельно от source, A и B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PASS / FAIL / NOT_RUN</w:t>
              <w:br/>
            </w:r>
          </w:p>
        </w:tc>
      </w:tr>
      <w:tr>
        <w:trPr>
          <w:cantSplit/>
        </w:trPr>
        <w:tc>
          <w:tcPr>
            <w:tcW w:type="dxa" w:w="7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Операция может быть закрыта</w:t>
              <w:br/>
            </w:r>
          </w:p>
        </w:tc>
        <w:tc>
          <w:tcPr>
            <w:tcW w:type="dxa" w:w="21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5"/>
              </w:rPr>
              <w:t>ДА / НЕТ</w:t>
              <w:br/>
            </w:r>
          </w:p>
        </w:tc>
      </w:tr>
    </w:tbl>
    <w:tbl>
      <w:tblPr>
        <w:tblW w:type="dxa" w:w="9750"/>
        <w:tblLayout w:type="fixed"/>
        <w:tblLook w:firstColumn="1" w:firstRow="1" w:lastColumn="0" w:lastRow="0" w:noHBand="0" w:noVBand="1" w:val="04A0"/>
        <w:jc w:val="center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2600"/>
        <w:gridCol w:w="2850"/>
        <w:gridCol w:w="2100"/>
        <w:gridCol w:w="2200"/>
      </w:tblGrid>
      <w:tr>
        <w:trPr>
          <w:tblHeader w:val="true"/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Сторона / роль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ФИО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Подпись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1B1F23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FFFFFF"/>
                <w:sz w:val="14"/>
              </w:rPr>
              <w:t>Дата и время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Ответственный за закрытие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Независимый проверяющий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>Представитель заказчика</w:t>
            </w:r>
          </w:p>
        </w:tc>
        <w:tc>
          <w:tcPr>
            <w:tcW w:type="dxa" w:w="28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1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  <w:tc>
          <w:tcPr>
            <w:tcW w:type="dxa" w:w="2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color w:val="101214"/>
                <w:sz w:val="16"/>
              </w:rPr>
              <w:t xml:space="preserve"> </w:t>
            </w:r>
          </w:p>
        </w:tc>
      </w:tr>
    </w:tbl>
    <w:tbl>
      <w:tblPr>
        <w:tblW w:type="dxa" w:w="9750"/>
        <w:jc w:val="center"/>
        <w:tblLayout w:type="fixed"/>
        <w:tblLook w:firstColumn="1" w:firstRow="1" w:lastColumn="0" w:lastRow="0" w:noHBand="0" w:noVBand="1" w:val="04A0"/>
        <w:tblBorders>
          <w:top w:val="single" w:sz="5" w:color="C6C9CC"/>
          <w:left w:val="single" w:sz="5" w:color="C6C9CC"/>
          <w:bottom w:val="single" w:sz="5" w:color="C6C9CC"/>
          <w:right w:val="single" w:sz="5" w:color="C6C9CC"/>
          <w:insideH w:val="single" w:sz="5" w:color="C6C9CC"/>
          <w:insideV w:val="single" w:sz="5" w:color="C6C9CC"/>
        </w:tblBorders>
      </w:tblPr>
      <w:tblGrid>
        <w:gridCol w:w="9750"/>
      </w:tblGrid>
      <w:tr>
        <w:trPr>
          <w:cantSplit/>
        </w:trPr>
        <w:tc>
          <w:tcPr>
            <w:tcW w:type="dxa" w:w="975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0F1EE"/>
          </w:tcPr>
          <w:p>
            <w:pPr>
              <w:spacing w:before="0" w:after="0" w:line="240" w:lineRule="auto"/>
            </w:pPr>
            <w:r>
              <w:rPr>
                <w:rFonts w:ascii="IBM Plex Sans" w:hAnsi="IBM Plex Sans" w:eastAsia="IBM Plex Sans"/>
                <w:b/>
                <w:color w:val="1B1F23"/>
                <w:sz w:val="18"/>
              </w:rPr>
              <w:t>ВАЖНО · Закрытие действительно только при фактической проверке открытия/расшифрования обеих копий и совпадении digest. Сам факт копирования не является проверкой восстановления.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500" w:right="1250" w:bottom="1500" w:left="1250" w:header="560" w:footer="48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60"/>
    </w:pPr>
    <w:r>
      <w:drawing>
        <wp:inline distT="0" distB="0" distL="0" distR="0">
          <wp:extent cx="4762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750"/>
      </w:tabs>
      <w:spacing w:after="0"/>
    </w:pP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20"/>
        <w:sz w:val="13"/>
        <w:szCs w:val="13"/>
      </w:rPr>
      <w:t xml:space="preserve">v-b.tech · systems that keep working when wi-fi doesn’t</w:t>
    </w:r>
    <w:r>
      <w:t xml:space="preserve">	</w:t>
    </w:r>
    <w:r>
      <w:rPr>
        <w:rFonts w:ascii="IBM Plex Mono" w:cs="IBM Plex Mono" w:eastAsia="IBM Plex Mono" w:hAnsi="IBM Plex Mono"/>
        <w:color w:val="5A626B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60"/>
    </w:pPr>
    <w:r>
      <w:drawing>
        <wp:inline distT="0" distB="0" distL="0" distR="0">
          <wp:extent cx="47625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750"/>
      </w:tabs>
      <w:spacing w:after="0"/>
    </w:pP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20"/>
        <w:sz w:val="13"/>
        <w:szCs w:val="13"/>
      </w:rPr>
      <w:t xml:space="preserve">v-b.tech · systems that keep working when wi-fi doesn’t</w:t>
    </w:r>
    <w:r>
      <w:t xml:space="preserve">	</w:t>
    </w:r>
    <w:r>
      <w:rPr>
        <w:rFonts w:ascii="IBM Plex Mono" w:cs="IBM Plex Mono" w:eastAsia="IBM Plex Mono" w:hAnsi="IBM Plex Mono"/>
        <w:color w:val="5A626B"/>
        <w:sz w:val="14"/>
        <w:szCs w:val="14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0D5" w:sz="4"/>
      </w:pBdr>
      <w:tabs>
        <w:tab w:val="right" w:pos="9750"/>
      </w:tabs>
      <w:spacing w:after="60"/>
    </w:pPr>
    <w:r>
      <w:rPr>
        <w:rFonts w:ascii="IBM Plex Mono" w:cs="IBM Plex Mono" w:eastAsia="IBM Plex Mono" w:hAnsi="IBM Plex Mono"/>
        <w:b/>
        <w:bCs/>
        <w:color w:val="101214"/>
        <w:sz w:val="20"/>
        <w:szCs w:val="20"/>
      </w:rPr>
      <w:t xml:space="preserve">v</w:t>
    </w:r>
    <w:r>
      <w:drawing>
        <wp:inline distT="0" distB="0" distL="0" distR="0">
          <wp:extent cx="85725" cy="123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b/>
        <w:bCs/>
        <w:color w:val="101214"/>
        <w:sz w:val="20"/>
        <w:szCs w:val="20"/>
      </w:rPr>
      <w:t xml:space="preserve">b</w:t>
    </w:r>
    <w:r>
      <w:rPr>
        <w:rFonts w:ascii="IBM Plex Mono" w:cs="IBM Plex Mono" w:eastAsia="IBM Plex Mono" w:hAnsi="IBM Plex Mono"/>
        <w:b/>
        <w:bCs/>
        <w:color w:val="7C858F"/>
        <w:sz w:val="20"/>
        <w:szCs w:val="20"/>
      </w:rPr>
      <w:t xml:space="preserve">.tech</w:t>
    </w:r>
    <w:r>
      <w:t xml:space="preserve">	</w:t>
    </w: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30"/>
        <w:sz w:val="13"/>
        <w:szCs w:val="13"/>
      </w:rPr>
      <w:t xml:space="preserve">doc · v-b.tech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50"/>
      </w:tabs>
      <w:spacing w:after="60"/>
    </w:pPr>
    <w:r>
      <w:rPr>
        <w:rFonts w:ascii="IBM Plex Mono" w:cs="IBM Plex Mono" w:eastAsia="IBM Plex Mono" w:hAnsi="IBM Plex Mono"/>
        <w:b/>
        <w:bCs/>
        <w:color w:val="101214"/>
        <w:sz w:val="30"/>
        <w:szCs w:val="30"/>
      </w:rPr>
      <w:t xml:space="preserve">v</w:t>
    </w:r>
    <w:r>
      <w:drawing>
        <wp:inline distT="0" distB="0" distL="0" distR="0">
          <wp:extent cx="1333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BM Plex Mono" w:cs="IBM Plex Mono" w:eastAsia="IBM Plex Mono" w:hAnsi="IBM Plex Mono"/>
        <w:b/>
        <w:bCs/>
        <w:color w:val="101214"/>
        <w:sz w:val="30"/>
        <w:szCs w:val="30"/>
      </w:rPr>
      <w:t xml:space="preserve">b</w:t>
    </w:r>
    <w:r>
      <w:rPr>
        <w:rFonts w:ascii="IBM Plex Mono" w:cs="IBM Plex Mono" w:eastAsia="IBM Plex Mono" w:hAnsi="IBM Plex Mono"/>
        <w:b/>
        <w:bCs/>
        <w:color w:val="7C858F"/>
        <w:sz w:val="30"/>
        <w:szCs w:val="30"/>
      </w:rPr>
      <w:t xml:space="preserve">.tech</w:t>
    </w:r>
    <w:r>
      <w:t xml:space="preserve">	</w:t>
    </w:r>
    <w:r>
      <w:rPr>
        <w:rFonts w:ascii="IBM Plex Mono" w:cs="IBM Plex Mono" w:eastAsia="IBM Plex Mono" w:hAnsi="IBM Plex Mono"/>
        <w:b w:val="false"/>
        <w:bCs w:val="false"/>
        <w:caps/>
        <w:color w:val="7C858F"/>
        <w:spacing w:val="30"/>
        <w:sz w:val="14"/>
        <w:szCs w:val="14"/>
      </w:rPr>
      <w:t xml:space="preserve">software for physical operations</w:t>
    </w:r>
  </w:p>
  <w:p>
    <w:pPr>
      <w:pBdr>
        <w:bottom w:val="single" w:color="101214" w:sz="6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300"/>
      </w:pPr>
      <w:rPr>
        <w:rFonts w:ascii="IBM Plex Mono" w:cs="IBM Plex Mono" w:eastAsia="IBM Plex Mono" w:hAnsi="IBM Plex Mono"/>
        <w:color w:val="D98E04"/>
      </w:rPr>
    </w:lvl>
  </w:abstractNum>
  <w:abstractNum w:abstractNumId="3" w15:restartNumberingAfterBreak="0">
    <w:multiLevelType w:val="hybridMultilevel"/>
    <w:lvl w:ilvl="0" w15:tentative="1">
      <w:start w:val="1"/>
      <w:numFmt w:val="decimalZero"/>
      <w:lvlText w:val="%1"/>
      <w:lvlJc w:val="left"/>
      <w:pPr>
        <w:ind w:left="480" w:hanging="340"/>
      </w:pPr>
      <w:rPr>
        <w:rFonts w:ascii="IBM Plex Mono" w:cs="IBM Plex Mono" w:eastAsia="IBM Plex Mono" w:hAnsi="IBM Plex Mono"/>
        <w:b/>
        <w:bCs/>
        <w:color w:val="D98E0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B1F23"/>
        <w:sz w:val="21"/>
        <w:szCs w:val="21"/>
      </w:rPr>
    </w:rPrDefault>
    <w:pPrDefault>
      <w:pPr>
        <w:spacing w:after="14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0" w:line="240"/>
    </w:pPr>
    <w:rPr>
      <w:rFonts w:ascii="IBM Plex Sans" w:cs="IBM Plex Sans" w:eastAsia="IBM Plex Sans" w:hAnsi="IBM Plex Sans"/>
      <w:b/>
      <w:bCs/>
      <w:color w:val="101214"/>
      <w:sz w:val="56"/>
      <w:szCs w:val="56"/>
    </w:rPr>
  </w:style>
  <w:style w:type="paragraph" w:styleId="Eyebrow">
    <w:name w:val="Eyebrow"/>
    <w:basedOn w:val="Normal"/>
    <w:next w:val="Title"/>
    <w:pPr>
      <w:spacing w:after="120" w:before="240"/>
    </w:pPr>
    <w:rPr>
      <w:rFonts w:ascii="IBM Plex Mono" w:cs="IBM Plex Mono" w:eastAsia="IBM Plex Mono" w:hAnsi="IBM Plex Mono"/>
      <w:caps/>
      <w:color w:val="D98E04"/>
      <w:spacing w:val="40"/>
      <w:sz w:val="17"/>
      <w:szCs w:val="17"/>
    </w:rPr>
  </w:style>
  <w:style w:type="paragraph" w:styleId="MetaLine">
    <w:name w:val="Meta Line"/>
    <w:basedOn w:val="Normal"/>
    <w:next w:val="Normal"/>
    <w:pPr>
      <w:spacing w:after="480"/>
    </w:pPr>
    <w:rPr>
      <w:rFonts w:ascii="IBM Plex Mono" w:cs="IBM Plex Mono" w:eastAsia="IBM Plex Mono" w:hAnsi="IBM Plex Mono"/>
      <w:color w:val="5A626B"/>
      <w:sz w:val="16"/>
      <w:szCs w:val="16"/>
    </w:rPr>
  </w:style>
  <w:style w:type="paragraph" w:styleId="Heading1">
    <w:name w:val="Heading 1"/>
    <w:basedOn w:val="Normal"/>
    <w:next w:val="Normal"/>
    <w:qFormat/>
    <w:pPr>
      <w:pBdr>
        <w:bottom w:val="single" w:color="F5A623" w:sz="12" w:space="6"/>
      </w:pBdr>
      <w:spacing w:after="160" w:before="420" w:line="260"/>
      <w:outlineLvl w:val="0"/>
    </w:pPr>
    <w:rPr>
      <w:rFonts w:ascii="IBM Plex Sans" w:cs="IBM Plex Sans" w:eastAsia="IBM Plex Sans" w:hAnsi="IBM Plex Sans"/>
      <w:b/>
      <w:bCs/>
      <w:color w:val="1012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IBM Plex Sans" w:cs="IBM Plex Sans" w:eastAsia="IBM Plex Sans" w:hAnsi="IBM Plex Sans"/>
      <w:b/>
      <w:bCs/>
      <w:color w:val="10121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IBM Plex Mono" w:cs="IBM Plex Mono" w:eastAsia="IBM Plex Mono" w:hAnsi="IBM Plex Mono"/>
      <w:b/>
      <w:bCs/>
      <w:caps/>
      <w:color w:val="D98E04"/>
      <w:spacing w:val="25"/>
      <w:sz w:val="19"/>
      <w:szCs w:val="19"/>
    </w:rPr>
  </w:style>
  <w:style w:type="paragraph" w:styleId="BrandQuote">
    <w:name w:val="Brand Quote"/>
    <w:basedOn w:val="Normal"/>
    <w:next w:val="Normal"/>
    <w:qFormat/>
    <w:pPr>
      <w:pBdr>
        <w:left w:val="single" w:color="F5A623" w:sz="18" w:space="16"/>
      </w:pBdr>
      <w:spacing w:after="200" w:before="200" w:line="320"/>
      <w:ind w:left="360"/>
    </w:pPr>
    <w:rPr>
      <w:rFonts w:ascii="IBM Plex Sans" w:cs="IBM Plex Sans" w:eastAsia="IBM Plex Sans" w:hAnsi="IBM Plex Sans"/>
      <w:color w:val="5A626B"/>
      <w:sz w:val="23"/>
      <w:szCs w:val="23"/>
    </w:rPr>
  </w:style>
  <w:style w:type="paragraph" w:styleId="CodeBlock">
    <w:name w:val="Code Block"/>
    <w:basedOn w:val="Normal"/>
    <w:next w:val="Normal"/>
    <w:qFormat/>
    <w:pPr>
      <w:pBdr>
        <w:top w:val="single" w:color="CBD0D5" w:sz="4"/>
        <w:bottom w:val="single" w:color="CBD0D5" w:sz="4"/>
        <w:left w:val="single" w:color="CBD0D5" w:sz="4"/>
        <w:right w:val="single" w:color="CBD0D5" w:sz="4"/>
      </w:pBdr>
      <w:shd w:fill="F0F1EE" w:val="clear"/>
      <w:spacing w:after="160" w:before="160" w:line="300"/>
      <w:ind w:left="240" w:right="240"/>
    </w:pPr>
    <w:rPr>
      <w:rFonts w:ascii="IBM Plex Mono" w:cs="IBM Plex Mono" w:eastAsia="IBM Plex Mono" w:hAnsi="IBM Plex Mono"/>
      <w:color w:val="1B1F23"/>
      <w:sz w:val="18"/>
      <w:szCs w:val="18"/>
    </w:rPr>
  </w:style>
  <w:style w:type="paragraph" w:styleId="Caption">
    <w:name w:val="Caption"/>
    <w:basedOn w:val="Normal"/>
    <w:next w:val="Normal"/>
    <w:qFormat/>
    <w:pPr>
      <w:spacing w:after="200" w:before="60"/>
    </w:pPr>
    <w:rPr>
      <w:rFonts w:ascii="IBM Plex Mono" w:cs="IBM Plex Mono" w:eastAsia="IBM Plex Mono" w:hAnsi="IBM Plex Mono"/>
      <w:caps/>
      <w:color w:val="7C858F"/>
      <w:spacing w:val="30"/>
      <w:sz w:val="15"/>
      <w:szCs w:val="1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7067515aa3123a3fb6002d63306583a7f8ca740d.png"/></Relationships>
</file>

<file path=word/_rels/footer2.xml.rels><?xml version='1.0' encoding='UTF-8' standalone='yes'?>
<Relationships xmlns="http://schemas.openxmlformats.org/package/2006/relationships"><Relationship Id="rId0" Type="http://schemas.openxmlformats.org/officeDocument/2006/relationships/image" Target="media/7067515aa3123a3fb6002d63306583a7f8ca740d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a8cd8967b849d221892d388e2aee6fde32de2bc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ba8cd8967b849d221892d388e2aee6fde32de2b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Закрытие и хранение доказательств</dc:title>
  <dc:creator>v-b.tech · Markiro</dc:creator>
  <cp:lastModifiedBy>Un-named</cp:lastModifiedBy>
  <cp:revision>1</cp:revision>
  <dcterms:created xsi:type="dcterms:W3CDTF">2026-08-21T06:32:59.074Z</dcterms:created>
  <dcterms:modified xsi:type="dcterms:W3CDTF">2026-08-21T06:32:59.075Z</dcterms:modified>
  <dc:subject>Финальная сверка, целостность и две копии</dc:subject>
  <cp:keywords>Markiro, inventory, evidence, SSCC, customer rollout</cp:keywords>
  <dc:description>Blank operational form. Contains no customer personal data.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