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>ПОЛЕВАЯ ИНСТРУКЦИЯ · INV-P0</w:t>
      </w:r>
    </w:p>
    <w:p>
      <w:pPr>
        <w:pStyle w:val="Title"/>
      </w:pPr>
      <w:r>
        <w:t>Как заполнять комплект</w:t>
        <w:br/>
        <w:t>и откуда брать данные</w:t>
      </w:r>
    </w:p>
    <w:p>
      <w:pPr>
        <w:pStyle w:val="MetaLine"/>
      </w:pPr>
      <w:r>
        <w:t>22-23.08.2026 · inventory-recovery-v1 · v1.0</w:t>
      </w:r>
    </w:p>
    <w:p>
      <w:pPr>
        <w:pStyle w:val="BrandQuote"/>
      </w:pPr>
      <w:r>
        <w:t>Практический порядок работы с полевым журналом, актом заказчика и custody record без подмены первичных технических данных.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100"/>
        <w:gridCol w:w="6650"/>
      </w:tblGrid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Заказчик / площадка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operationId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Период проведения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22–23.08.2026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Ответственный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Код документа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INV-P0-GUIDE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Версия формы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1.0</w:t>
            </w:r>
          </w:p>
        </w:tc>
      </w:tr>
    </w:tbl>
    <w:p>
      <w:pPr>
        <w:spacing w:before="160" w:after="0" w:line="240" w:lineRule="auto"/>
      </w:pPr>
      <w:r>
        <w:rPr>
          <w:rFonts w:ascii="IBM Plex Mono" w:hAnsi="IBM Plex Mono" w:eastAsia="IBM Plex Mono"/>
          <w:b/>
          <w:color w:val="D98E04"/>
          <w:sz w:val="17"/>
        </w:rPr>
        <w:t>РАБОЧАЯ ФОРМА · заполняется разборчиво; исправления заверяются подписью и временем.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1D6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СТОП-КОНТРОЛЬ · Главное правило: сначала сохранить первичный факт, затем перенести ссылку или итог в форму. Не восстанавливайте коды, время, количества и согласия по памяти.</w:t>
            </w:r>
          </w:p>
        </w:tc>
      </w:tr>
    </w:tbl>
    <w:p>
      <w:pPr>
        <w:spacing w:before="20" w:after="40" w:line="245" w:lineRule="auto"/>
      </w:pPr>
      <w:r>
        <w:rPr>
          <w:rFonts w:ascii="IBM Plex Mono" w:hAnsi="IBM Plex Mono" w:eastAsia="IBM Plex Mono"/>
          <w:b/>
          <w:color w:val="D98E04"/>
          <w:sz w:val="16"/>
        </w:rPr>
        <w:t xml:space="preserve">КОМПЛЕКТ  </w:t>
      </w:r>
      <w:r>
        <w:rPr>
          <w:rFonts w:ascii="IBM Plex Sans" w:hAnsi="IBM Plex Sans" w:eastAsia="IBM Plex Sans"/>
          <w:color w:val="101214"/>
          <w:sz w:val="17"/>
        </w:rPr>
        <w:t>01 - полевой журнал; 02 - акт и согласия; 03 - закрытие и хранение доказательств.</w:t>
      </w:r>
    </w:p>
    <w:p>
      <w:pPr>
        <w:spacing w:before="20" w:after="40" w:line="245" w:lineRule="auto"/>
      </w:pPr>
      <w:r>
        <w:rPr>
          <w:rFonts w:ascii="IBM Plex Mono" w:hAnsi="IBM Plex Mono" w:eastAsia="IBM Plex Mono"/>
          <w:b/>
          <w:color w:val="D98E04"/>
          <w:sz w:val="16"/>
        </w:rPr>
        <w:t xml:space="preserve">ПРИОРИТЕТ  </w:t>
      </w:r>
      <w:r>
        <w:rPr>
          <w:rFonts w:ascii="IBM Plex Sans" w:hAnsi="IBM Plex Sans" w:eastAsia="IBM Plex Sans"/>
          <w:color w:val="101214"/>
          <w:sz w:val="17"/>
        </w:rPr>
        <w:t>Raw TXT / фото / CSV / JSON / manifest -&gt; подписанные формы -&gt; устные пояснения.</w:t>
      </w:r>
    </w:p>
    <w:p>
      <w:r>
        <w:br w:type="page"/>
      </w:r>
    </w:p>
    <w:p>
      <w:pPr>
        <w:pStyle w:val="Heading1"/>
        <w:pageBreakBefore w:val="0"/>
      </w:pPr>
      <w:r>
        <w:t>1. До выезда и до первого сканирования</w:t>
      </w:r>
    </w:p>
    <w:p>
      <w:pPr>
        <w:spacing w:before="40" w:after="120" w:line="259" w:lineRule="auto"/>
      </w:pPr>
      <w:r>
        <w:rPr>
          <w:rFonts w:ascii="IBM Plex Sans" w:hAnsi="IBM Plex Sans" w:eastAsia="IBM Plex Sans"/>
          <w:color w:val="101214"/>
          <w:sz w:val="18"/>
        </w:rPr>
        <w:t>Заполните паспортные сведения один раз и одинаково во всех трёх документах. Если значение ещё не создано системой, оставьте поле пустым до момента создания; не придумывайте временный идентификатор без явной пометки DRAFT.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01  Назначьте operationId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Используйте одно неизменное значение для папки операции, документов, фотографий и manifest. Источник - фактически созданная папка/manifest. Пример формата: INV-20260822-pilot-01.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02  Зафиксируйте границы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Запишите юридическое наименование заказчика, адрес, зоны и исключённые помещения со слов уполномоченного представителя. Получите подтверждение до начала перемещения коробов.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03  Запишите исполнителей и технику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ФИО и роль берите из документов/подтверждения участника; terminalId и версии сборок - с экрана сведений Station или админки. Не переписывайте серийные номера, если они не нужны протоколу.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04  Сверьте время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Запишите Europe/Moscow, UTC+03:00 и источник точного времени. Сравните часы устройства и камеры; отклонение и принятое решение внесите в журнал.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05  Подтвердите диапазон SSCC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Стартовый порог и разрешённый диапазон берите только из настроек/согласованного решения. До подтверждения новые коды не печатать.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06  Определите хранение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Заранее назначьте места копий A и B, хранителей и отдельного хранителя ключа. Custody record не должен оказаться внутри запечатанного пакета.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Если evidence-package tooling ещё недоступен на рабочем компьютере, подготовьте приватную папку вручную, но не меняйте имена и не перезаписывайте raw-файл после начала операции.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2. Единые правила записи и карта источников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200"/>
        <w:gridCol w:w="2900"/>
        <w:gridCol w:w="2600"/>
        <w:gridCol w:w="205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Что записываем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Откуда брать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Куда переносить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operationId / версии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manifest, экран Station/Admin, сведения о сборке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обложки 01-03, журналы, имена файлов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совпадает символ в символ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Дата и время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часы устройства после сверки; UTC offset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журнал, подписи, фото-индекс, custody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формат YYYY-MM-DD HH:MM +03:00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Старый SSCC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сканер; без ручной нормализации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baseline/old-sscc.raw.txt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один скан - одна строка; порядок сохранён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Физический короб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последовательный номер на наклейке/маркерной карточке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полевой реестр и фото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номер видим до вскрытия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Продукт / GTIN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маркировка единицы продукции и справочник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реестр коробов, Station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не смешивать наименования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Дата производства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печать непосредственно на продукции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настройка смены и реестр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YYYY-MM-DD; одна дата в новом коробе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Новый SSCC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фактически выданный Markiro код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Station/export и ссылка в журнале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уникальность подтверждена машинно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Количество / результат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reconciliation.csv, отчёт, manifest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акт заказчика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значение + имя источника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Согласие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личное решение подписанта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разделы 9 и 10 акта; consent.json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два независимых решения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Хеш / состав пакета</w:t>
            </w:r>
          </w:p>
        </w:tc>
        <w:tc>
          <w:tcPr>
            <w:tcW w:type="dxa" w:w="2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seal/verify либо SHA-256 инструмент</w:t>
            </w:r>
          </w:p>
        </w:tc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manifest, SHA256SUMS, акт, custody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перепроверить с копий A и B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В формах допустимы только PASS, FAIL и NOT_RUN. Для NOT_RUN обязательно записать причину. Пустая клетка не равна PASS.</w:t>
            </w:r>
          </w:p>
        </w:tc>
      </w:tr>
    </w:tbl>
    <w:p>
      <w:pPr>
        <w:pStyle w:val="Heading1"/>
        <w:pageBreakBefore w:val="0"/>
      </w:pPr>
      <w:r>
        <w:t>Обозначения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Evidence ID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устойчивая ссылка на файл, фото, строку или событие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Raw ref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номер строки исходного TXT; не копия и не исправленная версия кода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Photo ID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уникальное имя фотографии без переименования после запечатывания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Duplicate group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одна группа всех физических коробов с одинаковым старым SSCC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NOT_AVAILABLE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сведения объективно отсутствуют; указать почему и кем подтверждено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3. Как заполнять полевой журнал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01  Паспорт операции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Перенесите одинаковые реквизиты из раздела подготовки. Версии Station/API фиксируются фактическими build SHA или видимой версией. Если версия не отображается - NOT_AVAILABLE с причиной.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02  Стоп-контроль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Каждый пункт закрывает ответственный после физической проверки. Время - момент проверки, а не начало дня. Комментарий должен указывать доказательство или конкретное отклонение.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03  Ворота G01-G12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Не ставьте PASS заранее. G06 закрывается после репетиции даты производства; G07-G10 - в ходе инвентаризации; G11 - только после машинной сверки; G12 - после подписей и проверки обеих копий.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04  Репетиция даты производства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Выберите тестовый продукт, укажите дату с продукции в настройках смены и проверьте DB/API/Admin/Station/Label/Export. Если поле пустое, отдельно запишите фактический результат старого fallback-поведения.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05  Хронологический журнал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Одна строка - одно значимое событие: начало зоны, обнаружение дубля, остановка, возобновление, закрытие сверки. Указывайте Evidence ID и инициалы.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06  Исключения и исправления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Ошибку зачеркните одной линией, рядом внесите корректное значение, время и инициалы. Не используйте корректор и не удаляйте строки из первичных файлов.</w:t>
      </w:r>
    </w:p>
    <w:p>
      <w:pPr>
        <w:pStyle w:val="Heading1"/>
        <w:pageBreakBefore w:val="0"/>
      </w:pPr>
      <w:r>
        <w:t>Когда остановить работу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300"/>
        <w:gridCol w:w="3250"/>
        <w:gridCol w:w="3200"/>
      </w:tblGrid>
      <w:tr>
        <w:trPr>
          <w:tblHeader w:val="true"/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Ситуация</w:t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Действие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Как зафиксировать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Не подтверждён диапазон новых SSCC</w:t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не печатать новые коды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FAIL на G04 + запись в журнале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Сырой файл закрыт/утерян/перезаписан</w:t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остановить сбор старых SSCC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инцидент; сохранить все существующие копии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Дата на продукции не читается или различается</w:t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не включать единицы в однородный новый короб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исключение + фото + решение заказчика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Продукты или партии смешаны</w:t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разделить физически до формирования нового короба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физические номера и итог в реестре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Station не возвращает заданную дату</w:t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не открывать смену с предполагаемым значением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FAIL репетиции; версия API/Station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4. Старые SSCC, физические короба и фотографии</w:t>
      </w:r>
    </w:p>
    <w:p>
      <w:pPr>
        <w:spacing w:before="40" w:after="120" w:line="259" w:lineRule="auto"/>
      </w:pPr>
      <w:r>
        <w:rPr>
          <w:rFonts w:ascii="IBM Plex Sans" w:hAnsi="IBM Plex Sans" w:eastAsia="IBM Plex Sans"/>
          <w:color w:val="101214"/>
          <w:sz w:val="18"/>
        </w:rPr>
        <w:t>Старый SSCC нужен для дезагрегации старого учёта и доказательства исходного риска. Он не становится коробом Markiro. Физический номер связывает короб, raw-строку, состав и фотографии.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01  Пронумеруйте короб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До вскрытия прикрепите видимый физический номер. Номера не переиспользуются, даже если короб оказался пустым или исключённым.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02  Сканируйте старый SSCC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Скан попадает в baseline/old-sscc.raw.txt как отдельная строка. Не удаляйте пробелы, не сортируйте, не устраняйте дубли и не открывайте файл редактором, который может менять кодировку.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03  Свяжите raw-строку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В реестре укажите номер строки raw-файла. После закрытия партии сканирования проверьте несколько первых, средних и последних ссылок.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04  Вскройте и определите состав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Для продукции запишите точное наименование/GTIN, дату производства непосредственно с единицы и партию, если она указана. Новый короб формируйте только из одного продукта и одной партии/даты.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05  Обнаружьте группу дублей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Все короба с одним и тем же старым SSCC получают единый DUP-XX. В строках реестра укажите один Group ID.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06  Сфотографируйте группу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Сделайте общий кадр с видимыми физическими номерами и крупные кадры кодов. Не обрезайте оригинал; дополнительные аннотации храните отдельной копией.</w:t>
      </w:r>
    </w:p>
    <w:p>
      <w:pPr>
        <w:pStyle w:val="Heading1"/>
        <w:pageBreakBefore w:val="0"/>
      </w:pPr>
      <w:r>
        <w:t>Рекомендуемые имена фото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Общий кадр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&lt;operationId&gt;_DUP-01_overview_001.jpg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Код на коробе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&lt;operationId&gt;_DUP-01_BOX-0001_code_001.jpg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Дата на продукции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&lt;operationId&gt;_BOX-0001_prod-date_001.jpg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Исключение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&lt;operationId&gt;_EXC-01_context_001.jpg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Фотография считается связанной только когда её имя записано в реестре дублей/исключений и она включена в manifest.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5. Результаты, акт и согласия заказчика</w:t>
      </w:r>
    </w:p>
    <w:p>
      <w:pPr>
        <w:spacing w:before="40" w:after="120" w:line="259" w:lineRule="auto"/>
      </w:pPr>
      <w:r>
        <w:rPr>
          <w:rFonts w:ascii="IBM Plex Sans" w:hAnsi="IBM Plex Sans" w:eastAsia="IBM Plex Sans"/>
          <w:color w:val="101214"/>
          <w:sz w:val="18"/>
        </w:rPr>
        <w:t>Акт заполняется после сверки. Числа не переписываются из памяти или устного отчёта: рядом с каждым значением указывается конкретный CSV, JSON, отчёт либо строка manifest.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500"/>
        <w:gridCol w:w="3200"/>
        <w:gridCol w:w="405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Раздел акта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Правило заполнения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Стороны и границы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реквизиты заказчика; паспорт операции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проверить полномочия подписанта и одинаковый operationId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Исходное состояние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наблюдения до начала + подтверждение заказчика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не превращать наблюдение в статистику; отметить отсутствие телеметрии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Вмешательство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хронологический журнал, Station, реестры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записывать только фактически выполненные действия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Количественные результаты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reconciliation.csv и машинные отчёты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значение + точное имя файла/метрики/версии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Сверка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вход/выход и вычисленная разница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нулевая разница допустима только из проверяемого расчёта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Дубли SSCC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реестр DUP + фотографии + raw refs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одна строка акта на группу; не публиковать raw-код без необходимости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Ограничения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фактическая полнота baseline и условия операции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согласовать отдельно; не обещать причинность без дизайна измерения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Приёмка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личное решение заказчика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выбрать один итог и перечислить замечания/сроки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Подписи и хеш</w:t>
            </w:r>
          </w:p>
        </w:tc>
        <w:tc>
          <w:tcPr>
            <w:tcW w:type="dxa" w:w="3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финальный manifest/SHA256SUMS</w:t>
            </w:r>
          </w:p>
        </w:tc>
        <w:tc>
          <w:tcPr>
            <w:tcW w:type="dxa" w:w="4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подписывать только после фиксации пакета</w:t>
            </w:r>
          </w:p>
        </w:tc>
      </w:tr>
    </w:tbl>
    <w:p>
      <w:pPr>
        <w:pStyle w:val="Heading1"/>
        <w:pageBreakBefore w:val="0"/>
      </w:pPr>
      <w:r>
        <w:t>Два независимых согласия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600"/>
        <w:gridCol w:w="3600"/>
        <w:gridCol w:w="355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Что разрешает</w:t>
            </w:r>
          </w:p>
        </w:tc>
        <w:tc>
          <w:tcPr>
            <w:tcW w:type="dxa" w:w="3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Что не подразумевает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Указание заказчика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название, роль, каналы и согласованную формулировку</w:t>
            </w:r>
          </w:p>
        </w:tc>
        <w:tc>
          <w:tcPr>
            <w:tcW w:type="dxa" w:w="3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не разрешает автоматически раскрывать данные или фото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Обезличенная аналитика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агрегаты для перечисленных целей и при заданных ограничениях</w:t>
            </w:r>
          </w:p>
        </w:tc>
        <w:tc>
          <w:tcPr>
            <w:tcW w:type="dxa" w:w="3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не разрешает называть заказчика и публиковать квази-идентификаторы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1D6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СТОП-КОНТРОЛЬ · Пустая отметка означает отсутствие разрешения. Формулировки для презентаций и EB-2 NIW должны ссылаться на подтверждённые факты и раскрывать ограничения одной площадки и одного периода.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6. Закрытие пакета, хеши и две копии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01  Завершите первичные артефакты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Raw TXT, реестры, фото, reconciliation.csv, consent.json и подписываемые документы должны иметь окончательное содержимое до sealing.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02  Проверьте manifest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В нём должны быть operationId, заказчик/площадка, оператор, устройство, часовой пояс, версии, протокол, диапазон SSCC и перечень файлов.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03  Рассчитайте SHA-256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Используйте evidence:seal/evidence:verify, если tooling доступен. Иначе зафиксируйте программу и точную команду. Не перепечатывайте digest вручную без повторной сверки.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04  Подпишите акт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Внесите финальный manifest ID/digest и только затем получите подписи. Любая последующая правка файла создаёт новую версию пакета и новый digest.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05  Создайте копию A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Скопируйте, откройте/расшифруйте, пересчитайте digest и запишите хранителя, место, метод шифрования и результат.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06  Создайте копию B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Повторите проверку в независимом месте. Отказ одного места не должен уничтожить обе копии.</w:t>
      </w:r>
    </w:p>
    <w:p>
      <w:pPr>
        <w:spacing w:before="80" w:after="20" w:line="250" w:lineRule="auto"/>
      </w:pPr>
      <w:r>
        <w:rPr>
          <w:rFonts w:ascii="IBM Plex Sans" w:hAnsi="IBM Plex Sans" w:eastAsia="IBM Plex Sans"/>
          <w:b/>
          <w:color w:val="101214"/>
          <w:sz w:val="18"/>
        </w:rPr>
        <w:t>07  Закройте custody</w:t>
      </w:r>
    </w:p>
    <w:p>
      <w:pPr>
        <w:spacing w:before="0" w:after="60" w:line="259" w:lineRule="auto"/>
        <w:ind w:left="440"/>
      </w:pPr>
      <w:r>
        <w:rPr>
          <w:rFonts w:ascii="IBM Plex Sans" w:hAnsi="IBM Plex Sans" w:eastAsia="IBM Plex Sans"/>
          <w:color w:val="101214"/>
          <w:sz w:val="17"/>
        </w:rPr>
        <w:t>Заполненный custody record храните вне source, A и B. Запишите следующую дату проверки и ответственного.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800"/>
        <w:gridCol w:w="3900"/>
        <w:gridCol w:w="305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Проверка</w:t>
            </w:r>
          </w:p>
        </w:tc>
        <w:tc>
          <w:tcPr>
            <w:tcW w:type="dxa" w:w="3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Что считается PASS</w:t>
            </w:r>
          </w:p>
        </w:tc>
        <w:tc>
          <w:tcPr>
            <w:tcW w:type="dxa" w:w="3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Чего недостаточно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Source package</w:t>
            </w:r>
          </w:p>
        </w:tc>
        <w:tc>
          <w:tcPr>
            <w:tcW w:type="dxa" w:w="3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все manifest entries существуют и digest совпадает</w:t>
            </w:r>
          </w:p>
        </w:tc>
        <w:tc>
          <w:tcPr>
            <w:tcW w:type="dxa" w:w="3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файл просто открывается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Копия A / B</w:t>
            </w:r>
          </w:p>
        </w:tc>
        <w:tc>
          <w:tcPr>
            <w:tcW w:type="dxa" w:w="3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копия доступна, расшифрована и независимо верифицирована</w:t>
            </w:r>
          </w:p>
        </w:tc>
        <w:tc>
          <w:tcPr>
            <w:tcW w:type="dxa" w:w="3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сообщение «копирование завершено»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Разделение</w:t>
            </w:r>
          </w:p>
        </w:tc>
        <w:tc>
          <w:tcPr>
            <w:tcW w:type="dxa" w:w="3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места независимы; ключ отдельно; доступ минимален</w:t>
            </w:r>
          </w:p>
        </w:tc>
        <w:tc>
          <w:tcPr>
            <w:tcW w:type="dxa" w:w="3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две папки на одном незашифрованном диске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Custody</w:t>
            </w:r>
          </w:p>
        </w:tc>
        <w:tc>
          <w:tcPr>
            <w:tcW w:type="dxa" w:w="3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отдельный финальный record с подписями и временем</w:t>
            </w:r>
          </w:p>
        </w:tc>
        <w:tc>
          <w:tcPr>
            <w:tcW w:type="dxa" w:w="3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копия пустого шаблона внутри пакета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7. Неизвестные значения, исправления и заявления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800"/>
        <w:gridCol w:w="3650"/>
        <w:gridCol w:w="330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Ситуация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Как записать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Запрещено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Показателя до внедрения нет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NOT_AVAILABLE; описать отсутствие телеметрии и доступные наблюдения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ставить 0 или оценку без модели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Контроль не запускали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NOT_RUN + причина + ответственное лицо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оставлять пустым или ставить PASS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Контроль завершился ошибкой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FAIL + Evidence ID + решение/повтор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удалять неудачную попытку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Бумажная ошибка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одна линия, корректное значение, инициалы, дата/время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корректор, вырывание страницы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Ошибка в техническом файле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сохранить исходник; создать amendment/новую версию со связью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переписывать raw-файл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Расчётный показатель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формула/версия, входы, окно, единица, округление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называть его наблюдаемым фактом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Подтверждение заказчика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ФИО, роль, scope и время подписи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подменять подпись устным согласием</w:t>
            </w:r>
          </w:p>
        </w:tc>
      </w:tr>
    </w:tbl>
    <w:p>
      <w:pPr>
        <w:pStyle w:val="Heading1"/>
        <w:pageBreakBefore w:val="0"/>
      </w:pPr>
      <w:r>
        <w:t>Классы утверждений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Наблюдаемый факт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непосредственно присутствует в raw-файле, фото, системе или подписанном документе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Расчёт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воспроизводится из перечисленных входов по версионированной формуле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Модель / оценка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зависит от явно раскрытых допущений; не маскируется под измерение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Подтверждение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суждение подписанта в указанном объёме; не заменяет технический источник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До появления сопоставимой телеметрии корректная формулировка эффекта: выявлен и документирован исходный риск; склад приведён к сверяемому состоянию; новые SSCC проверены на уникальность. Не заявляйте процент улучшения без валидного baseline.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8. Финальная памятка перед закрытием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650"/>
        <w:gridCol w:w="5550"/>
        <w:gridCol w:w="1450"/>
        <w:gridCol w:w="2100"/>
      </w:tblGrid>
      <w:tr>
        <w:trPr>
          <w:tblHeader w:val="true"/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Проверка</w:t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Инициалы / время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01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Один operationId используется во всех документах и файлах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02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Границы склада и исключённые зоны подтверждены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03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Raw TXT сохранён без сортировки, нормализации и удаления дублей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04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Каждый физический короб имеет неповторяющийся номер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05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Все группы одинаковых SSCC имеют DUP ID и связанные фото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06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Дата производства взята с продукции и проверена по 6 поверхностям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07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Новые короба однородны по продукту и партии/дате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08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Новые SSCC входят в согласованный диапазон и уникальны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09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Reconciliation завершён; необъяснённые расхождения перечислены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10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Акт заполнен из машинных источников и подписан после sealing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11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Согласия на название и обезличенную аналитику оформлены отдельно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12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Manifest и SHA-256 проверены на source, копии A и копии B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13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Копии A и B физически/логически независимы; ключ хранится отдельно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14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Финальный custody record находится вне evidence package и копий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15</w:t>
              <w:br/>
            </w:r>
          </w:p>
        </w:tc>
        <w:tc>
          <w:tcPr>
            <w:tcW w:type="dxa" w:w="5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Все FAIL/NOT_RUN имеют причину, владельца и дальнейшее действие</w:t>
              <w:br/>
            </w:r>
          </w:p>
        </w:tc>
        <w:tc>
          <w:tcPr>
            <w:tcW w:type="dxa" w:w="1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1D6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СТОП-КОНТРОЛЬ · Операция закрыта только после G12: подписей, успешной проверки обеих копий и отдельного сохранения custody record.</w:t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Незакрытые пункты / ответственный / срок: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pPr>
        <w:spacing w:before="120" w:after="0" w:line="240" w:lineRule="auto"/>
        <w:jc w:val="center"/>
      </w:pPr>
      <w:r>
        <w:rPr>
          <w:rFonts w:ascii="IBM Plex Mono" w:hAnsi="IBM Plex Mono" w:eastAsia="IBM Plex Mono"/>
          <w:b/>
          <w:color w:val="5F666D"/>
          <w:sz w:val="16"/>
        </w:rPr>
        <w:t>КОНЕЦ ИНСТРУКЦИИ · версия 1.0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00" w:right="1250" w:bottom="1500" w:left="125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60"/>
    </w:pPr>
    <w:r>
      <w:drawing>
        <wp:inline distT="0" distB="0" distL="0" distR="0">
          <wp:extent cx="4762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750"/>
      </w:tabs>
      <w:spacing w:after="0"/>
    </w:pP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20"/>
        <w:sz w:val="13"/>
        <w:szCs w:val="13"/>
      </w:rPr>
      <w:t xml:space="preserve">v-b.tech · systems that keep working when wi-fi doesn’t</w:t>
    </w:r>
    <w:r>
      <w:t xml:space="preserve">	</w:t>
    </w:r>
    <w:r>
      <w:rPr>
        <w:rFonts w:ascii="IBM Plex Mono" w:cs="IBM Plex Mono" w:eastAsia="IBM Plex Mono" w:hAnsi="IBM Plex Mono"/>
        <w:color w:val="5A626B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60"/>
    </w:pPr>
    <w:r>
      <w:drawing>
        <wp:inline distT="0" distB="0" distL="0" distR="0">
          <wp:extent cx="4762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750"/>
      </w:tabs>
      <w:spacing w:after="0"/>
    </w:pP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20"/>
        <w:sz w:val="13"/>
        <w:szCs w:val="13"/>
      </w:rPr>
      <w:t xml:space="preserve">v-b.tech · systems that keep working when wi-fi doesn’t</w:t>
    </w:r>
    <w:r>
      <w:t xml:space="preserve">	</w:t>
    </w:r>
    <w:r>
      <w:rPr>
        <w:rFonts w:ascii="IBM Plex Mono" w:cs="IBM Plex Mono" w:eastAsia="IBM Plex Mono" w:hAnsi="IBM Plex Mono"/>
        <w:color w:val="5A626B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0D5" w:sz="4"/>
      </w:pBdr>
      <w:tabs>
        <w:tab w:val="right" w:pos="9750"/>
      </w:tabs>
      <w:spacing w:after="60"/>
    </w:pPr>
    <w:r>
      <w:rPr>
        <w:rFonts w:ascii="IBM Plex Mono" w:cs="IBM Plex Mono" w:eastAsia="IBM Plex Mono" w:hAnsi="IBM Plex Mono"/>
        <w:b/>
        <w:bCs/>
        <w:color w:val="101214"/>
        <w:sz w:val="20"/>
        <w:szCs w:val="20"/>
      </w:rPr>
      <w:t xml:space="preserve">v</w:t>
    </w:r>
    <w:r>
      <w:drawing>
        <wp:inline distT="0" distB="0" distL="0" distR="0">
          <wp:extent cx="857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b/>
        <w:bCs/>
        <w:color w:val="101214"/>
        <w:sz w:val="20"/>
        <w:szCs w:val="20"/>
      </w:rPr>
      <w:t xml:space="preserve">b</w:t>
    </w:r>
    <w:r>
      <w:rPr>
        <w:rFonts w:ascii="IBM Plex Mono" w:cs="IBM Plex Mono" w:eastAsia="IBM Plex Mono" w:hAnsi="IBM Plex Mono"/>
        <w:b/>
        <w:bCs/>
        <w:color w:val="7C858F"/>
        <w:sz w:val="20"/>
        <w:szCs w:val="20"/>
      </w:rPr>
      <w:t xml:space="preserve">.tech</w:t>
    </w:r>
    <w:r>
      <w:t xml:space="preserve">	</w:t>
    </w: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30"/>
        <w:sz w:val="13"/>
        <w:szCs w:val="13"/>
      </w:rPr>
      <w:t xml:space="preserve">doc · v-b.tech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50"/>
      </w:tabs>
      <w:spacing w:after="60"/>
    </w:pPr>
    <w:r>
      <w:rPr>
        <w:rFonts w:ascii="IBM Plex Mono" w:cs="IBM Plex Mono" w:eastAsia="IBM Plex Mono" w:hAnsi="IBM Plex Mono"/>
        <w:b/>
        <w:bCs/>
        <w:color w:val="101214"/>
        <w:sz w:val="30"/>
        <w:szCs w:val="30"/>
      </w:rPr>
      <w:t xml:space="preserve">v</w:t>
    </w:r>
    <w:r>
      <w:drawing>
        <wp:inline distT="0" distB="0" distL="0" distR="0">
          <wp:extent cx="1333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b/>
        <w:bCs/>
        <w:color w:val="101214"/>
        <w:sz w:val="30"/>
        <w:szCs w:val="30"/>
      </w:rPr>
      <w:t xml:space="preserve">b</w:t>
    </w:r>
    <w:r>
      <w:rPr>
        <w:rFonts w:ascii="IBM Plex Mono" w:cs="IBM Plex Mono" w:eastAsia="IBM Plex Mono" w:hAnsi="IBM Plex Mono"/>
        <w:b/>
        <w:bCs/>
        <w:color w:val="7C858F"/>
        <w:sz w:val="30"/>
        <w:szCs w:val="30"/>
      </w:rPr>
      <w:t xml:space="preserve">.tech</w:t>
    </w:r>
    <w:r>
      <w:t xml:space="preserve">	</w:t>
    </w: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30"/>
        <w:sz w:val="14"/>
        <w:szCs w:val="14"/>
      </w:rPr>
      <w:t xml:space="preserve">software for physical operations</w:t>
    </w:r>
  </w:p>
  <w:p>
    <w:pPr>
      <w:pBdr>
        <w:bottom w:val="single" w:color="101214" w:sz="6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300"/>
      </w:pPr>
      <w:rPr>
        <w:rFonts w:ascii="IBM Plex Mono" w:cs="IBM Plex Mono" w:eastAsia="IBM Plex Mono" w:hAnsi="IBM Plex Mono"/>
        <w:color w:val="D98E04"/>
      </w:rPr>
    </w:lvl>
  </w:abstractNum>
  <w:abstractNum w:abstractNumId="3" w15:restartNumberingAfterBreak="0">
    <w:multiLevelType w:val="hybridMultilevel"/>
    <w:lvl w:ilvl="0" w15:tentative="1">
      <w:start w:val="1"/>
      <w:numFmt w:val="decimalZero"/>
      <w:lvlText w:val="%1"/>
      <w:lvlJc w:val="left"/>
      <w:pPr>
        <w:ind w:left="480" w:hanging="340"/>
      </w:pPr>
      <w:rPr>
        <w:rFonts w:ascii="IBM Plex Mono" w:cs="IBM Plex Mono" w:eastAsia="IBM Plex Mono" w:hAnsi="IBM Plex Mono"/>
        <w:b/>
        <w:bCs/>
        <w:color w:val="D98E0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B1F23"/>
        <w:sz w:val="21"/>
        <w:szCs w:val="21"/>
      </w:rPr>
    </w:rPrDefault>
    <w:pPrDefault>
      <w:pPr>
        <w:spacing w:after="14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0" w:line="240"/>
    </w:pPr>
    <w:rPr>
      <w:rFonts w:ascii="IBM Plex Sans" w:cs="IBM Plex Sans" w:eastAsia="IBM Plex Sans" w:hAnsi="IBM Plex Sans"/>
      <w:b/>
      <w:bCs/>
      <w:color w:val="101214"/>
      <w:sz w:val="56"/>
      <w:szCs w:val="56"/>
    </w:rPr>
  </w:style>
  <w:style w:type="paragraph" w:styleId="Eyebrow">
    <w:name w:val="Eyebrow"/>
    <w:basedOn w:val="Normal"/>
    <w:next w:val="Title"/>
    <w:pPr>
      <w:spacing w:after="120" w:before="240"/>
    </w:pPr>
    <w:rPr>
      <w:rFonts w:ascii="IBM Plex Mono" w:cs="IBM Plex Mono" w:eastAsia="IBM Plex Mono" w:hAnsi="IBM Plex Mono"/>
      <w:caps/>
      <w:color w:val="D98E04"/>
      <w:spacing w:val="40"/>
      <w:sz w:val="17"/>
      <w:szCs w:val="17"/>
    </w:rPr>
  </w:style>
  <w:style w:type="paragraph" w:styleId="MetaLine">
    <w:name w:val="Meta Line"/>
    <w:basedOn w:val="Normal"/>
    <w:next w:val="Normal"/>
    <w:pPr>
      <w:spacing w:after="480"/>
    </w:pPr>
    <w:rPr>
      <w:rFonts w:ascii="IBM Plex Mono" w:cs="IBM Plex Mono" w:eastAsia="IBM Plex Mono" w:hAnsi="IBM Plex Mono"/>
      <w:color w:val="5A626B"/>
      <w:sz w:val="16"/>
      <w:szCs w:val="16"/>
    </w:rPr>
  </w:style>
  <w:style w:type="paragraph" w:styleId="Heading1">
    <w:name w:val="Heading 1"/>
    <w:basedOn w:val="Normal"/>
    <w:next w:val="Normal"/>
    <w:qFormat/>
    <w:pPr>
      <w:pBdr>
        <w:bottom w:val="single" w:color="F5A623" w:sz="12" w:space="6"/>
      </w:pBdr>
      <w:spacing w:after="160" w:before="420" w:line="260"/>
      <w:outlineLvl w:val="0"/>
    </w:pPr>
    <w:rPr>
      <w:rFonts w:ascii="IBM Plex Sans" w:cs="IBM Plex Sans" w:eastAsia="IBM Plex Sans" w:hAnsi="IBM Plex Sans"/>
      <w:b/>
      <w:bCs/>
      <w:color w:val="1012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IBM Plex Sans" w:cs="IBM Plex Sans" w:eastAsia="IBM Plex Sans" w:hAnsi="IBM Plex Sans"/>
      <w:b/>
      <w:bCs/>
      <w:color w:val="10121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IBM Plex Mono" w:cs="IBM Plex Mono" w:eastAsia="IBM Plex Mono" w:hAnsi="IBM Plex Mono"/>
      <w:b/>
      <w:bCs/>
      <w:caps/>
      <w:color w:val="D98E04"/>
      <w:spacing w:val="25"/>
      <w:sz w:val="19"/>
      <w:szCs w:val="19"/>
    </w:rPr>
  </w:style>
  <w:style w:type="paragraph" w:styleId="BrandQuote">
    <w:name w:val="Brand Quote"/>
    <w:basedOn w:val="Normal"/>
    <w:next w:val="Normal"/>
    <w:qFormat/>
    <w:pPr>
      <w:pBdr>
        <w:left w:val="single" w:color="F5A623" w:sz="18" w:space="16"/>
      </w:pBdr>
      <w:spacing w:after="200" w:before="200" w:line="320"/>
      <w:ind w:left="360"/>
    </w:pPr>
    <w:rPr>
      <w:rFonts w:ascii="IBM Plex Sans" w:cs="IBM Plex Sans" w:eastAsia="IBM Plex Sans" w:hAnsi="IBM Plex Sans"/>
      <w:color w:val="5A626B"/>
      <w:sz w:val="23"/>
      <w:szCs w:val="23"/>
    </w:rPr>
  </w:style>
  <w:style w:type="paragraph" w:styleId="CodeBlock">
    <w:name w:val="Code Block"/>
    <w:basedOn w:val="Normal"/>
    <w:next w:val="Normal"/>
    <w:qFormat/>
    <w:pPr>
      <w:pBdr>
        <w:top w:val="single" w:color="CBD0D5" w:sz="4"/>
        <w:bottom w:val="single" w:color="CBD0D5" w:sz="4"/>
        <w:left w:val="single" w:color="CBD0D5" w:sz="4"/>
        <w:right w:val="single" w:color="CBD0D5" w:sz="4"/>
      </w:pBdr>
      <w:shd w:fill="F0F1EE" w:val="clear"/>
      <w:spacing w:after="160" w:before="160" w:line="300"/>
      <w:ind w:left="240" w:right="240"/>
    </w:pPr>
    <w:rPr>
      <w:rFonts w:ascii="IBM Plex Mono" w:cs="IBM Plex Mono" w:eastAsia="IBM Plex Mono" w:hAnsi="IBM Plex Mono"/>
      <w:color w:val="1B1F23"/>
      <w:sz w:val="18"/>
      <w:szCs w:val="18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IBM Plex Mono" w:cs="IBM Plex Mono" w:eastAsia="IBM Plex Mono" w:hAnsi="IBM Plex Mono"/>
      <w:caps/>
      <w:color w:val="7C858F"/>
      <w:spacing w:val="30"/>
      <w:sz w:val="15"/>
      <w:szCs w:val="1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7067515aa3123a3fb6002d63306583a7f8ca740d.png"/></Relationships>
</file>

<file path=word/_rels/footer2.xml.rels><?xml version='1.0' encoding='UTF-8' standalone='yes'?>
<Relationships xmlns="http://schemas.openxmlformats.org/package/2006/relationships"><Relationship Id="rId0" Type="http://schemas.openxmlformats.org/officeDocument/2006/relationships/image" Target="media/7067515aa3123a3fb6002d63306583a7f8ca740d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a8cd8967b849d221892d388e2aee6fde32de2bc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ba8cd8967b849d221892d388e2aee6fde32de2b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заполнению полевого комплекта</dc:title>
  <dc:creator>v-b.tech · Markiro</dc:creator>
  <cp:lastModifiedBy>Un-named</cp:lastModifiedBy>
  <cp:revision>1</cp:revision>
  <dcterms:created xsi:type="dcterms:W3CDTF">2026-08-21T06:32:59.074Z</dcterms:created>
  <dcterms:modified xsi:type="dcterms:W3CDTF">2026-08-21T06:32:59.075Z</dcterms:modified>
  <dc:subject>Источники данных и порядок фиксации доказательств первой инвентаризации</dc:subject>
  <cp:keywords>Markiro, inventory, evidence, SSCC, customer rollout</cp:keywords>
  <dc:description>Blank operational form. Contains no customer personal data.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