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220"/>
      </w:pPr>
      <w:r>
        <w:t xml:space="preserve">Соглашение об использовании наименования и логотипа и подготовке отзыва</w:t>
      </w:r>
    </w:p>
    <w:p>
      <w:pPr>
        <w:pStyle w:val="Heading1"/>
      </w:pPr>
      <w:r>
        <w:t xml:space="preserve">Сведения о редакции</w:t>
      </w:r>
    </w:p>
    <w:tbl>
      <w:tblPr>
        <w:tblW w:type="dxa" w:w="9638"/>
        <w:tblBorders>
          <w:top w:val="single" w:color="E0DED7" w:sz="4"/>
          <w:left w:val="single" w:color="E0DED7" w:sz="4"/>
          <w:bottom w:val="single" w:color="E0DED7" w:sz="4"/>
          <w:right w:val="single" w:color="E0DED7" w:sz="4"/>
          <w:insideH w:val="single" w:color="E0DED7" w:sz="2"/>
          <w:insideV w:val="single" w:color="E0DED7" w:sz="2"/>
        </w:tblBorders>
        <w:tblLayout w:type="fixed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/>
                <w:bCs/>
                <w:sz w:val="18"/>
                <w:szCs w:val="18"/>
              </w:rPr>
              <w:t xml:space="preserve">Реквизит</w:t>
            </w:r>
          </w:p>
        </w:tc>
        <w:tc>
          <w:tcPr>
            <w:tcW w:type="dxa" w:w="6803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83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Код документа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MKR-PUB-01</w:t>
            </w:r>
          </w:p>
        </w:tc>
      </w:tr>
      <w:tr>
        <w:trPr>
          <w:cantSplit/>
        </w:trPr>
        <w:tc>
          <w:tcPr>
            <w:tcW w:type="dxa" w:w="283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Редакция и дата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2026.10/01 · 30.10.2026</w:t>
            </w:r>
          </w:p>
        </w:tc>
      </w:tr>
      <w:tr>
        <w:trPr>
          <w:cantSplit/>
        </w:trPr>
        <w:tc>
          <w:tcPr>
            <w:tcW w:type="dxa" w:w="283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Сайт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https://markiro.app</w:t>
            </w:r>
          </w:p>
        </w:tc>
      </w:tr>
      <w:tr>
        <w:trPr>
          <w:cantSplit/>
        </w:trPr>
        <w:tc>
          <w:tcPr>
            <w:tcW w:type="dxa" w:w="283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Предприниматель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Индивидуальный предприниматель Богатырев Владислав Сергеевич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t xml:space="preserve">1. Стороны и оформление</w:t>
      </w:r>
    </w:p>
    <w:p>
      <w:pPr>
        <w:keepNext/>
      </w:pPr>
      <w:r>
        <w:t xml:space="preserve">Индивидуальный предприниматель Богатырев Владислав Сергеевич, ИНН 234106228141, ОГРНИП 326237500395950 (далее — Лицензиар), и Клиент, сведения о котором указаны ниже, согласуют использование корпоративных материалов на следующих условиях. Соглашение применяется только после его отдельного оформления уполномоченными представителями; общий флажок в заявке его не заключает.</w:t>
      </w:r>
    </w:p>
    <w:tbl>
      <w:tblPr>
        <w:tblW w:type="dxa" w:w="9638"/>
        <w:tblBorders>
          <w:top w:val="single" w:color="E0DED7" w:sz="4"/>
          <w:left w:val="single" w:color="E0DED7" w:sz="4"/>
          <w:bottom w:val="single" w:color="E0DED7" w:sz="4"/>
          <w:right w:val="single" w:color="E0DED7" w:sz="4"/>
          <w:insideH w:val="single" w:color="E0DED7" w:sz="2"/>
          <w:insideV w:val="single" w:color="E0DED7" w:sz="2"/>
        </w:tblBorders>
        <w:tblLayout w:type="fixed"/>
      </w:tblPr>
      <w:tblGrid>
        <w:gridCol w:w="2754"/>
        <w:gridCol w:w="6884"/>
      </w:tblGrid>
      <w:tr>
        <w:trPr>
          <w:cantSplit/>
          <w:tblHeader/>
        </w:trPr>
        <w:tc>
          <w:tcPr>
            <w:tcW w:type="dxa" w:w="2754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/>
                <w:bCs/>
                <w:sz w:val="18"/>
                <w:szCs w:val="18"/>
              </w:rPr>
              <w:t xml:space="preserve">Реквизит</w:t>
            </w:r>
          </w:p>
        </w:tc>
        <w:tc>
          <w:tcPr>
            <w:tcW w:type="dxa" w:w="6884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/>
                <w:bCs/>
                <w:sz w:val="18"/>
                <w:szCs w:val="18"/>
              </w:rPr>
              <w:t xml:space="preserve">Заполняется при оформлении</w:t>
            </w:r>
          </w:p>
        </w:tc>
      </w:tr>
      <w:tr>
        <w:trPr>
          <w:cantSplit/>
        </w:trPr>
        <w:tc>
          <w:tcPr>
            <w:tcW w:type="dxa" w:w="275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Номер, дата и место</w:t>
            </w:r>
          </w:p>
        </w:tc>
        <w:tc>
          <w:tcPr>
            <w:tcW w:type="dxa" w:w="688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[НОМЕР] · [ДАТА] · [МЕСТО]</w:t>
            </w:r>
          </w:p>
        </w:tc>
      </w:tr>
      <w:tr>
        <w:trPr>
          <w:cantSplit/>
        </w:trPr>
        <w:tc>
          <w:tcPr>
            <w:tcW w:type="dxa" w:w="275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Клиент</w:t>
            </w:r>
          </w:p>
        </w:tc>
        <w:tc>
          <w:tcPr>
            <w:tcW w:type="dxa" w:w="688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[НАИМЕНОВАНИЕ; ИНН; ОГРН/ОГРНИП; АДРЕС]</w:t>
            </w:r>
          </w:p>
        </w:tc>
      </w:tr>
      <w:tr>
        <w:trPr>
          <w:cantSplit/>
        </w:trPr>
        <w:tc>
          <w:tcPr>
            <w:tcW w:type="dxa" w:w="275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Представитель и полномочия</w:t>
            </w:r>
          </w:p>
        </w:tc>
        <w:tc>
          <w:tcPr>
            <w:tcW w:type="dxa" w:w="688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[ФИО; ДОЛЖНОСТЬ; ОСНОВАНИЕ]</w:t>
            </w:r>
          </w:p>
        </w:tc>
      </w:tr>
      <w:tr>
        <w:trPr>
          <w:cantSplit/>
        </w:trPr>
        <w:tc>
          <w:tcPr>
            <w:tcW w:type="dxa" w:w="275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Заказ</w:t>
            </w:r>
          </w:p>
        </w:tc>
        <w:tc>
          <w:tcPr>
            <w:tcW w:type="dxa" w:w="688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[НОМЕР СЧЁТА/ДОГОВОРА; ПЛОЩАДКА; ТАРИФ]</w:t>
            </w:r>
          </w:p>
        </w:tc>
      </w:tr>
      <w:tr>
        <w:trPr>
          <w:cantSplit/>
        </w:trPr>
        <w:tc>
          <w:tcPr>
            <w:tcW w:type="dxa" w:w="275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Материалы</w:t>
            </w:r>
          </w:p>
        </w:tc>
        <w:tc>
          <w:tcPr>
            <w:tcW w:type="dxa" w:w="688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[НАИМЕНОВАНИЕ; ФАЙЛ ЛОГОТИПА; ВЕРСИЯ/ХЕШ; ПРАВООБЛАДАТЕЛЬ]</w:t>
            </w:r>
          </w:p>
        </w:tc>
      </w:tr>
      <w:tr>
        <w:trPr>
          <w:cantSplit/>
        </w:trPr>
        <w:tc>
          <w:tcPr>
            <w:tcW w:type="dxa" w:w="275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Контакты согласования</w:t>
            </w:r>
          </w:p>
        </w:tc>
        <w:tc>
          <w:tcPr>
            <w:tcW w:type="dxa" w:w="688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[ПОЧТА КЛИЕНТА]; hello@markiro.app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t xml:space="preserve">2. Разрешённое использование</w:t>
      </w:r>
    </w:p>
    <w:p>
      <w:r>
        <w:t xml:space="preserve">Клиент разрешает без отдельного лицензионного вознаграждения разместить согласованные наименование и логотип в разделе клиентов на markiro.app и в согласованном описании его проекта на этом же сайте. Разрешены техническое масштабирование с сохранением пропорций и размещение на нейтральном фоне. Искажение, изменение цветов без согласования, передача третьим лицам, использование на товарах и платное рекламное продвижение в разрешение не входят.</w:t>
      </w:r>
    </w:p>
    <w:p>
      <w:r>
        <w:t xml:space="preserve">Логотип используется как предоставленное графическое произведение; разрешённые способы — воспроизведение и доведение до всеобщего сведения на указанном сайте. Срок — двенадцать месяцев с первой публикации, но не позднее четырнадцати месяцев со дня подписания. Территория — Российская Федерация; доступность сайта из других стран сама по себе не расширяет способы использования.</w:t>
      </w:r>
    </w:p>
    <w:p>
      <w:r>
        <w:t xml:space="preserve">Если материал является товарным знаком, разрешение охватывает только согласованное информационное указание на Клиента. Использование знака для индивидуализации товаров или услуг Маркиро не предоставляется; при необходимости самостоятельной лицензии на товарный знак стороны оформляют её отдельно с соблюдением обязательной государственной регистрации.</w:t>
      </w:r>
    </w:p>
    <w:p>
      <w:pPr>
        <w:pStyle w:val="Heading1"/>
      </w:pPr>
      <w:r>
        <w:t xml:space="preserve">3. Отзыв и согласование публикаций</w:t>
      </w:r>
    </w:p>
    <w:p>
      <w:r>
        <w:t xml:space="preserve">После первого месяца использования Клиент готовит отзыв о фактическом опыте либо сообщает мотивированные замечания. Положительная оценка не требуется. Текст, показатели и окончательный макет каждой публикации согласуются Клиентом до размещения; отсутствие ответа не является согласием. Нельзя заявлять об успешном внедрении или результатах, которые Клиент не подтвердил.</w:t>
      </w:r>
    </w:p>
    <w:p>
      <w:r>
        <w:t xml:space="preserve">В публикацию не включаются персональные данные работников, их фотографии, подписи, личные контакты и производственная тайна. Если отдельная публикация требует сведений о физическом лице, до неё оформляются необходимые самостоятельные согласия субъекта, включая согласие на распространение по статье 10.1 Закона № 152-ФЗ и согласие на изображение при его использовании. Подпись организации не заменяет такие согласия.</w:t>
      </w:r>
    </w:p>
    <w:p>
      <w:r>
        <w:t xml:space="preserve">Клиент подтверждает права на переданные корпоративные материалы и полномочия разрешить указанное использование. Разрешение не создаёт впечатления, что Клиент одобряет любые товары или заявления Маркиро.</w:t>
      </w:r>
    </w:p>
    <w:p>
      <w:pPr>
        <w:pStyle w:val="Heading1"/>
      </w:pPr>
      <w:r>
        <w:t xml:space="preserve">4. Акция и прекращение</w:t>
      </w:r>
    </w:p>
    <w:p>
      <w:r>
        <w:t xml:space="preserve">Если стороны подтверждают участие в акции первых площадок, это указывается в счёте до оплаты: первый год базовой «Линии» — 84 000 ₽ вместо 120 000 ₽; базового «Цеха» — 168 000 ₽ вместо 240 000 ₽. Наличие места в акции подтверждает Лицензиар. На «Старт», дополнения, услуги и расходы скидка не распространяется без отдельного указания. Скидка является уменьшением цены собственной лицензии, встречная продажа прав или взаимозачёт платежей не оформляются.</w:t>
      </w:r>
    </w:p>
    <w:p>
      <w:r>
        <w:t xml:space="preserve">Клиент может прекратить разрешение письмом с согласованного адреса. Новые публикации прекращаются немедленно, контролируемые страницы сайта очищаются от материалов не позднее пяти рабочих дней; внешние кэши удаляются по доступным процедурам. Истечение разрешения, отзыв или критический отзыв не создают автоматического долга на сумму скидки, не прекращают лицензию и не ограничивают поддержку. Стороны не обязаны продлевать разрешение.</w:t>
      </w:r>
    </w:p>
    <w:p>
      <w:r>
        <w:t xml:space="preserve">Согласие на рекламные письма и обработку данных для них не является условием акции. По вопросам, не урегулированным соглашением, применяются закон и договор по указанному заказу.</w:t>
      </w:r>
    </w:p>
    <w:p>
      <w:pPr>
        <w:pStyle w:val="Heading1"/>
      </w:pPr>
      <w:r>
        <w:t xml:space="preserve">5. Подписи сторон</w:t>
      </w:r>
    </w:p>
    <w:tbl>
      <w:tblPr>
        <w:tblW w:type="dxa" w:w="9638"/>
        <w:tblBorders>
          <w:top w:val="single" w:color="E0DED7" w:sz="4"/>
          <w:left w:val="single" w:color="E0DED7" w:sz="4"/>
          <w:bottom w:val="single" w:color="E0DED7" w:sz="4"/>
          <w:right w:val="single" w:color="E0DED7" w:sz="4"/>
          <w:insideH w:val="single" w:color="E0DED7" w:sz="2"/>
          <w:insideV w:val="single" w:color="E0DED7" w:sz="2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/>
                <w:bCs/>
                <w:sz w:val="18"/>
                <w:szCs w:val="18"/>
              </w:rPr>
              <w:t xml:space="preserve">Лицензиар</w:t>
            </w:r>
          </w:p>
        </w:tc>
        <w:tc>
          <w:tcPr>
            <w:tcW w:type="dxa" w:w="4819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/>
                <w:bCs/>
                <w:sz w:val="18"/>
                <w:szCs w:val="18"/>
              </w:rPr>
              <w:t xml:space="preserve">Клиент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Индивидуальный предприниматель Богатырев Владислав Сергеевич</w:t>
            </w:r>
          </w:p>
        </w:tc>
        <w:tc>
          <w:tcPr>
            <w:tcW w:type="dxa" w:w="481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[НАИМЕНОВАНИЕ]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________________ / В. С. Богатырев /</w:t>
            </w:r>
          </w:p>
        </w:tc>
        <w:tc>
          <w:tcPr>
            <w:tcW w:type="dxa" w:w="481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________________ / [ФИО] /</w:t>
            </w:r>
          </w:p>
        </w:tc>
      </w:tr>
    </w:tbl>
    <w:p>
      <w:pPr>
        <w:spacing w:after="120" w:before="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284" w:footer="28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E0DED7" w:sz="4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850"/>
      <w:gridCol w:w="8788"/>
    </w:tblGrid>
    <w:tr>
      <w:trPr>
        <w:trHeight w:val="620" w:hRule="atLeast"/>
      </w:trPr>
      <w:tc>
        <w:tcPr>
          <w:tcW w:type="dxa" w:w="850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40"/>
            <w:left w:type="dxa" w:w="40"/>
            <w:bottom w:type="dxa" w:w="40"/>
            <w:right w:type="dxa" w:w="120"/>
          </w:tcMar>
          <w:vAlign w:val="center"/>
        </w:tcPr>
        <w:p>
          <w:pPr>
            <w:spacing w:after="0" w:before="0"/>
            <w:jc w:val="center"/>
          </w:pPr>
          <w:r>
            <w:drawing>
              <wp:inline distT="0" distB="0" distL="0" distR="0">
                <wp:extent cx="447675" cy="447675"/>
                <wp:effectExtent t="0" r="0" b="0" l="0"/>
                <wp:docPr id="1" name="Verification Data Matrix" descr="Verification Data Matrix" title="Verification Data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788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noWrap/>
          <w:tcMar>
            <w:top w:type="dxa" w:w="40"/>
            <w:left w:type="dxa" w:w="100"/>
            <w:bottom w:type="dxa" w:w="40"/>
            <w:right w:type="dxa" w:w="40"/>
          </w:tcMar>
          <w:vAlign w:val="center"/>
        </w:tcPr>
        <w:p>
          <w:pPr>
            <w:pStyle w:val="FurnitureMono"/>
            <w:jc w:val="center"/>
          </w:pPr>
          <w:r>
            <w:rPr>
              <w:b/>
              <w:bCs/>
            </w:rPr>
            <w:t xml:space="preserve">MKR-PUB-01 · 2026.10/01 · 30.10.2026 · Страница </w:t>
          </w:r>
          <w: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E0DED7" w:sz="4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850"/>
      <w:gridCol w:w="8788"/>
    </w:tblGrid>
    <w:tr>
      <w:trPr>
        <w:trHeight w:val="620" w:hRule="atLeast"/>
      </w:trPr>
      <w:tc>
        <w:tcPr>
          <w:tcW w:type="dxa" w:w="850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40"/>
            <w:left w:type="dxa" w:w="40"/>
            <w:bottom w:type="dxa" w:w="40"/>
            <w:right w:type="dxa" w:w="120"/>
          </w:tcMar>
          <w:vAlign w:val="center"/>
        </w:tcPr>
        <w:p>
          <w:pPr>
            <w:spacing w:after="0" w:before="0"/>
            <w:jc w:val="center"/>
          </w:pPr>
          <w:r>
            <w:drawing>
              <wp:inline distT="0" distB="0" distL="0" distR="0">
                <wp:extent cx="447675" cy="447675"/>
                <wp:effectExtent t="0" r="0" b="0" l="0"/>
                <wp:docPr id="1" name="Verification Data Matrix" descr="Verification Data Matrix" title="Verification Data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788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noWrap/>
          <w:tcMar>
            <w:top w:type="dxa" w:w="40"/>
            <w:left w:type="dxa" w:w="100"/>
            <w:bottom w:type="dxa" w:w="40"/>
            <w:right w:type="dxa" w:w="40"/>
          </w:tcMar>
          <w:vAlign w:val="center"/>
        </w:tcPr>
        <w:p>
          <w:pPr>
            <w:pStyle w:val="FurnitureMono"/>
            <w:jc w:val="center"/>
          </w:pPr>
          <w:r>
            <w:rPr>
              <w:b/>
              <w:bCs/>
            </w:rPr>
            <w:t xml:space="preserve">MKR-PUB-01 · 2026.10/01 · 30.10.2026 · Страница </w:t>
          </w:r>
          <w: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AFAF8" w:sz="0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5103"/>
      <w:gridCol w:w="4535"/>
    </w:tblGrid>
    <w:tr>
      <w:trPr>
        <w:trHeight w:val="400" w:hRule="atLeast"/>
      </w:trPr>
      <w:tc>
        <w:tcPr>
          <w:tcW w:type="dxa" w:w="5103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40"/>
            <w:left w:type="dxa" w:w="40"/>
            <w:bottom w:type="dxa" w:w="40"/>
            <w:right w:type="dxa" w:w="8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190500" cy="190500"/>
                <wp:effectExtent t="0" r="0" b="0" l="0"/>
                <wp:docPr id="1" name="Markiro symbol" descr="Markiro symbol" title="Markiro symbo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IBM Plex Mono" w:cs="IBM Plex Mono" w:eastAsia="IBM Plex Mono" w:hAnsi="IBM Plex Mono"/>
              <w:b/>
              <w:bCs/>
              <w:color w:val="17161A"/>
              <w:position w:val="6pt"/>
              <w:sz w:val="20"/>
              <w:szCs w:val="20"/>
            </w:rPr>
            <w:t xml:space="preserve"> маркиро</w:t>
          </w:r>
        </w:p>
      </w:tc>
      <w:tc>
        <w:tcPr>
          <w:tcW w:type="dxa" w:w="4535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noWrap/>
          <w:tcMar>
            <w:top w:type="dxa" w:w="40"/>
            <w:left w:type="dxa" w:w="80"/>
            <w:bottom w:type="dxa" w:w="40"/>
            <w:right w:type="dxa" w:w="40"/>
          </w:tcMar>
          <w:vAlign w:val="center"/>
        </w:tcPr>
        <w:p>
          <w:pPr>
            <w:pStyle w:val="FurnitureMono"/>
            <w:jc w:val="right"/>
          </w:pPr>
          <w:r>
            <w:rPr>
              <w:b/>
              <w:bCs/>
            </w:rPr>
            <w:t xml:space="preserve">ПУБЛИЧНЫЙ ДОКУМЕНТ</w:t>
          </w:r>
          <w:r>
            <w:t xml:space="preserve"> · MKR-PUB-01 · 2026.10/01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AFAF8" w:sz="0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5103"/>
      <w:gridCol w:w="4535"/>
    </w:tblGrid>
    <w:tr>
      <w:trPr>
        <w:trHeight w:val="520" w:hRule="atLeast"/>
      </w:trPr>
      <w:tc>
        <w:tcPr>
          <w:tcW w:type="dxa" w:w="5103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40"/>
            <w:left w:type="dxa" w:w="40"/>
            <w:bottom w:type="dxa" w:w="40"/>
            <w:right w:type="dxa" w:w="8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28600" cy="228600"/>
                <wp:effectExtent t="0" r="0" b="0" l="0"/>
                <wp:docPr id="1" name="Markiro symbol" descr="Markiro symbol" title="Markiro symbo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IBM Plex Mono" w:cs="IBM Plex Mono" w:eastAsia="IBM Plex Mono" w:hAnsi="IBM Plex Mono"/>
              <w:b/>
              <w:bCs/>
              <w:color w:val="17161A"/>
              <w:position w:val="7pt"/>
              <w:sz w:val="20"/>
              <w:szCs w:val="20"/>
            </w:rPr>
            <w:t xml:space="preserve"> маркиро</w:t>
          </w:r>
        </w:p>
      </w:tc>
      <w:tc>
        <w:tcPr>
          <w:tcW w:type="dxa" w:w="4535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noWrap/>
          <w:tcMar>
            <w:top w:type="dxa" w:w="40"/>
            <w:left w:type="dxa" w:w="80"/>
            <w:bottom w:type="dxa" w:w="40"/>
            <w:right w:type="dxa" w:w="40"/>
          </w:tcMar>
          <w:vAlign w:val="center"/>
        </w:tcPr>
        <w:p>
          <w:pPr>
            <w:pStyle w:val="FurnitureMono"/>
            <w:jc w:val="right"/>
          </w:pPr>
          <w:r>
            <w:rPr>
              <w:b/>
              <w:bCs/>
            </w:rPr>
            <w:t xml:space="preserve">ПУБЛИЧНЫЙ ДОКУМЕНТ</w:t>
          </w:r>
          <w:r>
            <w:t xml:space="preserve"> · MKR-PUB-01 · 2026.10/01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7161A"/>
        <w:sz w:val="20"/>
        <w:szCs w:val="20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pPr>
      <w:spacing w:after="160" w:before="0"/>
      <w:outlineLvl w:val="0"/>
    </w:pPr>
    <w:rPr>
      <w:rFonts w:ascii="IBM Plex Sans" w:cs="IBM Plex Sans" w:eastAsia="IBM Plex Sans" w:hAnsi="IBM Plex Sans"/>
      <w:b/>
      <w:bCs/>
      <w:color w:val="17161A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90" w:before="240"/>
      <w:outlineLvl w:val="0"/>
    </w:pPr>
    <w:rPr>
      <w:rFonts w:ascii="IBM Plex Sans" w:cs="IBM Plex Sans" w:eastAsia="IBM Plex Sans" w:hAnsi="IBM Plex Sans"/>
      <w:b/>
      <w:bCs/>
      <w:color w:val="17161A"/>
      <w:sz w:val="25"/>
      <w:szCs w:val="25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70"/>
    </w:pPr>
    <w:rPr>
      <w:rFonts w:ascii="IBM Plex Sans" w:cs="IBM Plex Sans" w:eastAsia="IBM Plex Sans" w:hAnsi="IBM Plex Sans"/>
      <w:color w:val="17161A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Summary">
    <w:name w:val="Document Summary"/>
    <w:basedOn w:val="Normal"/>
    <w:next w:val="Normal"/>
    <w:qFormat/>
    <w:pPr>
      <w:spacing w:line="280"/>
    </w:pPr>
    <w:rPr>
      <w:rFonts w:ascii="IBM Plex Sans" w:cs="IBM Plex Sans" w:eastAsia="IBM Plex Sans" w:hAnsi="IBM Plex Sans"/>
      <w:color w:val="6B6862"/>
      <w:sz w:val="21"/>
      <w:szCs w:val="21"/>
    </w:rPr>
  </w:style>
  <w:style w:type="paragraph" w:styleId="MetaMono">
    <w:name w:val="Metadata Mono"/>
    <w:basedOn w:val="Normal"/>
    <w:next w:val="Normal"/>
    <w:pPr>
      <w:spacing w:after="0" w:before="0" w:line="220"/>
    </w:pPr>
    <w:rPr>
      <w:rFonts w:ascii="IBM Plex Mono" w:cs="IBM Plex Mono" w:eastAsia="IBM Plex Mono" w:hAnsi="IBM Plex Mono"/>
      <w:color w:val="17161A"/>
      <w:sz w:val="16"/>
      <w:szCs w:val="16"/>
    </w:rPr>
  </w:style>
  <w:style w:type="paragraph" w:styleId="FurnitureMono">
    <w:name w:val="Document Furniture Mono"/>
    <w:basedOn w:val="Normal"/>
    <w:next w:val="Normal"/>
    <w:pPr>
      <w:spacing w:after="0" w:before="0" w:line="180"/>
    </w:pPr>
    <w:rPr>
      <w:rFonts w:ascii="IBM Plex Mono" w:cs="IBM Plex Mono" w:eastAsia="IBM Plex Mono" w:hAnsi="IBM Plex Mono"/>
      <w:color w:val="17161A"/>
      <w:sz w:val="14"/>
      <w:szCs w:val="1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f72c4edbad69ec3199bd94f2713fdfdc85eef755.svg"/><Relationship Id="rId1" Type="http://schemas.openxmlformats.org/officeDocument/2006/relationships/image" Target="media/e78332f0bbc92fac139c51a42f8e3d7a786d940f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f72c4edbad69ec3199bd94f2713fdfdc85eef755.svg"/><Relationship Id="rId1" Type="http://schemas.openxmlformats.org/officeDocument/2006/relationships/image" Target="media/e78332f0bbc92fac139c51a42f8e3d7a786d940f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5c3268a3cf02cc754a0352e4e93ce67747321e4.svg"/><Relationship Id="rId1" Type="http://schemas.openxmlformats.org/officeDocument/2006/relationships/image" Target="media/6132ca6cb8aba12dea49d210fbfb28728036789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5c3268a3cf02cc754a0352e4e93ce67747321e4.svg"/><Relationship Id="rId1" Type="http://schemas.openxmlformats.org/officeDocument/2006/relationships/image" Target="media/6132ca6cb8aba12dea49d210fbfb28728036789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об использовании наименования и логотипа и подготовке отзыва</dc:title>
  <dc:subject>MKR-PUB-01/2026.10/01</dc:subject>
  <dc:creator>Markiro</dc:creator>
  <dc:description>Заполняемая форма отдельного разрешения организации на согласованные публикации.</dc:description>
  <cp:lastModifiedBy>Markiro legal artifact generator</cp:lastModifiedBy>
  <cp:revision>1</cp:revision>
  <dcterms:created xsi:type="dcterms:W3CDTF">2026-10-30T00:00:00Z</dcterms:created>
  <dcterms:modified xsi:type="dcterms:W3CDTF">2026-10-30T00:00:00Z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