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220"/>
      </w:pPr>
      <w:r>
        <w:t xml:space="preserve">Tenant Personal Data Processing Instruction</w:t>
      </w:r>
    </w:p>
    <w:p>
      <w:pPr>
        <w:pStyle w:val="DocumentSummary"/>
        <w:spacing w:after="220"/>
      </w:pPr>
      <w:r>
        <w:t xml:space="preserve">This is an informational translation. The matching Russian revision is authoritative. This template separates the tenant-controller and Markiro-processor roles.</w:t>
      </w:r>
    </w:p>
    <w:tbl>
      <w:tblPr>
        <w:tblW w:type="dxa" w:w="9638"/>
        <w:tblBorders>
          <w:top w:val="single" w:color="E0DED7" w:sz="4"/>
          <w:left w:val="single" w:color="E0DED7" w:sz="4"/>
          <w:bottom w:val="single" w:color="E0DED7" w:sz="4"/>
          <w:right w:val="single" w:color="E0DED7" w:sz="4"/>
          <w:insideH w:val="single" w:color="E0DED7" w:sz="2"/>
          <w:insideV w:val="single" w:color="E0DED7" w:sz="2"/>
        </w:tblBorders>
        <w:tblLayout w:type="fixed"/>
      </w:tblPr>
      <w:tblGrid>
        <w:gridCol w:w="2835"/>
        <w:gridCol w:w="6803"/>
      </w:tblGrid>
      <w:tr>
        <w:trPr>
          <w:cantSplit/>
        </w:trPr>
        <w:tc>
          <w:tcPr>
            <w:tcW w:type="dxa" w:w="2835"/>
            <w:shd w:fill="FAFAF8" w:val="clear"/>
            <w:tcMar>
              <w:top w:type="dxa" w:w="80"/>
              <w:left w:type="dxa" w:w="120"/>
              <w:bottom w:type="dxa" w:w="80"/>
              <w:right w:type="dxa" w:w="120"/>
            </w:tcMar>
          </w:tcPr>
          <w:p>
            <w:pPr>
              <w:pStyle w:val="MetaMono"/>
            </w:pPr>
            <w:r>
              <w:t xml:space="preserve">Document code</w:t>
            </w:r>
          </w:p>
        </w:tc>
        <w:tc>
          <w:tcPr>
            <w:tcW w:type="dxa" w:w="6803"/>
            <w:tcMar>
              <w:top w:type="dxa" w:w="80"/>
              <w:left w:type="dxa" w:w="120"/>
              <w:bottom w:type="dxa" w:w="80"/>
              <w:right w:type="dxa" w:w="120"/>
            </w:tcMar>
          </w:tcPr>
          <w:p>
            <w:r>
              <w:rPr>
                <w:rFonts w:ascii="IBM Plex Sans" w:cs="IBM Plex Sans" w:eastAsia="IBM Plex Sans" w:hAnsi="IBM Plex Sans"/>
                <w:sz w:val="18"/>
                <w:szCs w:val="18"/>
              </w:rPr>
              <w:t xml:space="preserve">MKR-DPA-01</w:t>
            </w:r>
          </w:p>
        </w:tc>
      </w:tr>
      <w:tr>
        <w:trPr>
          <w:cantSplit/>
        </w:trPr>
        <w:tc>
          <w:tcPr>
            <w:tcW w:type="dxa" w:w="2835"/>
            <w:shd w:fill="FAFAF8" w:val="clear"/>
            <w:tcMar>
              <w:top w:type="dxa" w:w="80"/>
              <w:left w:type="dxa" w:w="120"/>
              <w:bottom w:type="dxa" w:w="80"/>
              <w:right w:type="dxa" w:w="120"/>
            </w:tcMar>
          </w:tcPr>
          <w:p>
            <w:pPr>
              <w:pStyle w:val="MetaMono"/>
            </w:pPr>
            <w:r>
              <w:t xml:space="preserve">Revision</w:t>
            </w:r>
          </w:p>
        </w:tc>
        <w:tc>
          <w:tcPr>
            <w:tcW w:type="dxa" w:w="6803"/>
            <w:tcMar>
              <w:top w:type="dxa" w:w="80"/>
              <w:left w:type="dxa" w:w="120"/>
              <w:bottom w:type="dxa" w:w="80"/>
              <w:right w:type="dxa" w:w="120"/>
            </w:tcMar>
          </w:tcPr>
          <w:p>
            <w:r>
              <w:rPr>
                <w:rFonts w:ascii="IBM Plex Sans" w:cs="IBM Plex Sans" w:eastAsia="IBM Plex Sans" w:hAnsi="IBM Plex Sans"/>
                <w:sz w:val="18"/>
                <w:szCs w:val="18"/>
              </w:rPr>
              <w:t xml:space="preserve">2026.08.01</w:t>
            </w:r>
          </w:p>
        </w:tc>
      </w:tr>
      <w:tr>
        <w:trPr>
          <w:cantSplit/>
        </w:trPr>
        <w:tc>
          <w:tcPr>
            <w:tcW w:type="dxa" w:w="2835"/>
            <w:shd w:fill="FAFAF8" w:val="clear"/>
            <w:tcMar>
              <w:top w:type="dxa" w:w="80"/>
              <w:left w:type="dxa" w:w="120"/>
              <w:bottom w:type="dxa" w:w="80"/>
              <w:right w:type="dxa" w:w="120"/>
            </w:tcMar>
          </w:tcPr>
          <w:p>
            <w:pPr>
              <w:pStyle w:val="MetaMono"/>
            </w:pPr>
            <w:r>
              <w:t xml:space="preserve">Effective from</w:t>
            </w:r>
          </w:p>
        </w:tc>
        <w:tc>
          <w:tcPr>
            <w:tcW w:type="dxa" w:w="6803"/>
            <w:tcMar>
              <w:top w:type="dxa" w:w="80"/>
              <w:left w:type="dxa" w:w="120"/>
              <w:bottom w:type="dxa" w:w="80"/>
              <w:right w:type="dxa" w:w="120"/>
            </w:tcMar>
          </w:tcPr>
          <w:p>
            <w:r>
              <w:rPr>
                <w:rFonts w:ascii="IBM Plex Sans" w:cs="IBM Plex Sans" w:eastAsia="IBM Plex Sans" w:hAnsi="IBM Plex Sans"/>
                <w:sz w:val="18"/>
                <w:szCs w:val="18"/>
              </w:rPr>
              <w:t xml:space="preserve">2026-08-15</w:t>
            </w:r>
          </w:p>
        </w:tc>
      </w:tr>
      <w:tr>
        <w:trPr>
          <w:cantSplit/>
        </w:trPr>
        <w:tc>
          <w:tcPr>
            <w:tcW w:type="dxa" w:w="2835"/>
            <w:shd w:fill="FAFAF8" w:val="clear"/>
            <w:tcMar>
              <w:top w:type="dxa" w:w="80"/>
              <w:left w:type="dxa" w:w="120"/>
              <w:bottom w:type="dxa" w:w="80"/>
              <w:right w:type="dxa" w:w="120"/>
            </w:tcMar>
          </w:tcPr>
          <w:p>
            <w:pPr>
              <w:pStyle w:val="MetaMono"/>
            </w:pPr>
            <w:r>
              <w:t xml:space="preserve">Language</w:t>
            </w:r>
          </w:p>
        </w:tc>
        <w:tc>
          <w:tcPr>
            <w:tcW w:type="dxa" w:w="6803"/>
            <w:tcMar>
              <w:top w:type="dxa" w:w="80"/>
              <w:left w:type="dxa" w:w="120"/>
              <w:bottom w:type="dxa" w:w="80"/>
              <w:right w:type="dxa" w:w="120"/>
            </w:tcMar>
          </w:tcPr>
          <w:p>
            <w:r>
              <w:rPr>
                <w:rFonts w:ascii="IBM Plex Sans" w:cs="IBM Plex Sans" w:eastAsia="IBM Plex Sans" w:hAnsi="IBM Plex Sans"/>
                <w:sz w:val="18"/>
                <w:szCs w:val="18"/>
              </w:rPr>
              <w:t xml:space="preserve">EN</w:t>
            </w:r>
          </w:p>
        </w:tc>
      </w:tr>
      <w:tr>
        <w:trPr>
          <w:cantSplit/>
        </w:trPr>
        <w:tc>
          <w:tcPr>
            <w:tcW w:type="dxa" w:w="2835"/>
            <w:shd w:fill="FAFAF8" w:val="clear"/>
            <w:tcMar>
              <w:top w:type="dxa" w:w="80"/>
              <w:left w:type="dxa" w:w="120"/>
              <w:bottom w:type="dxa" w:w="80"/>
              <w:right w:type="dxa" w:w="120"/>
            </w:tcMar>
          </w:tcPr>
          <w:p>
            <w:pPr>
              <w:pStyle w:val="MetaMono"/>
            </w:pPr>
            <w:r>
              <w:t xml:space="preserve">Operator</w:t>
            </w:r>
          </w:p>
        </w:tc>
        <w:tc>
          <w:tcPr>
            <w:tcW w:type="dxa" w:w="6803"/>
            <w:tcMar>
              <w:top w:type="dxa" w:w="80"/>
              <w:left w:type="dxa" w:w="120"/>
              <w:bottom w:type="dxa" w:w="80"/>
              <w:right w:type="dxa" w:w="120"/>
            </w:tcMar>
          </w:tcPr>
          <w:p>
            <w:r>
              <w:rPr>
                <w:rFonts w:ascii="IBM Plex Sans" w:cs="IBM Plex Sans" w:eastAsia="IBM Plex Sans" w:hAnsi="IBM Plex Sans"/>
                <w:sz w:val="18"/>
                <w:szCs w:val="18"/>
              </w:rPr>
              <w:t xml:space="preserve">Богатырев Владислав Сергеевич</w:t>
            </w:r>
          </w:p>
        </w:tc>
      </w:tr>
      <w:tr>
        <w:trPr>
          <w:cantSplit/>
        </w:trPr>
        <w:tc>
          <w:tcPr>
            <w:tcW w:type="dxa" w:w="2835"/>
            <w:shd w:fill="FAFAF8" w:val="clear"/>
            <w:tcMar>
              <w:top w:type="dxa" w:w="80"/>
              <w:left w:type="dxa" w:w="120"/>
              <w:bottom w:type="dxa" w:w="80"/>
              <w:right w:type="dxa" w:w="120"/>
            </w:tcMar>
          </w:tcPr>
          <w:p>
            <w:pPr>
              <w:pStyle w:val="MetaMono"/>
            </w:pPr>
            <w:r>
              <w:t xml:space="preserve">Contacts</w:t>
            </w:r>
          </w:p>
        </w:tc>
        <w:tc>
          <w:tcPr>
            <w:tcW w:type="dxa" w:w="6803"/>
            <w:tcMar>
              <w:top w:type="dxa" w:w="80"/>
              <w:left w:type="dxa" w:w="120"/>
              <w:bottom w:type="dxa" w:w="80"/>
              <w:right w:type="dxa" w:w="120"/>
            </w:tcMar>
          </w:tcPr>
          <w:p>
            <w:r>
              <w:rPr>
                <w:rFonts w:ascii="IBM Plex Sans" w:cs="IBM Plex Sans" w:eastAsia="IBM Plex Sans" w:hAnsi="IBM Plex Sans"/>
                <w:sz w:val="18"/>
                <w:szCs w:val="18"/>
              </w:rPr>
              <w:t xml:space="preserve">https://markiro.app · hello@v-b.tech · +7 934 355-14-90</w:t>
            </w:r>
          </w:p>
        </w:tc>
      </w:tr>
    </w:tbl>
    <w:p>
      <w:pPr>
        <w:pStyle w:val="Heading1"/>
      </w:pPr>
      <w:r>
        <w:t xml:space="preserve">1. Template status</w:t>
      </w:r>
    </w:p>
    <w:p>
      <w:r>
        <w:t xml:space="preserve">TEMPLATE — NOT AN OPERATIVE DOCUMENT. No instruction is created until party details, purposes, subject and data categories, terms, and special instructions are completed and the parties execute the document through an agreed process.</w:t>
      </w:r>
    </w:p>
    <w:p>
      <w:pPr>
        <w:pStyle w:val="Heading1"/>
      </w:pPr>
      <w:r>
        <w:t xml:space="preserve">2. Party roles</w:t>
      </w:r>
    </w:p>
    <w:p>
      <w:r>
        <w:t xml:space="preserve">A tenant determining the purposes and means for personal data concerning its workers or other people is the controller. Markiro is a person processing personal data on behalf of that controller only within the tenant's documented instructions.</w:t>
      </w:r>
    </w:p>
    <w:p>
      <w:r>
        <w:t xml:space="preserve">The processor role does not release Markiro from confidentiality, security, instruction-compliance, or controller-assistance duties.</w:t>
      </w:r>
    </w:p>
    <w:p>
      <w:pPr>
        <w:pStyle w:val="Heading1"/>
      </w:pPr>
      <w:r>
        <w:t xml:space="preserve">3. Tenant-controller duties</w:t>
      </w:r>
    </w:p>
    <w:p>
      <w:r>
        <w:t xml:space="preserve">The tenant ensures lawful grounds, employee and data-subject notices, required consents, data accuracy, lawful purpose and scope, documented instructions, and decisions on data-subject requests as controller.</w:t>
      </w:r>
    </w:p>
    <w:p>
      <w:r>
        <w:t xml:space="preserve">The tenant does not instruct processing beyond the stated production purpose and promptly communicates changes to legal basis, data scope, term, or access regime.</w:t>
      </w:r>
    </w:p>
    <w:p>
      <w:pPr>
        <w:pStyle w:val="Heading1"/>
      </w:pPr>
      <w:r>
        <w:t xml:space="preserve">4. Subject matter and instructions</w:t>
      </w:r>
    </w:p>
    <w:p>
      <w:r>
        <w:t xml:space="preserve">An issued document must define operations, purposes, subject and data categories, territory and term, access, export, correction, restriction, return, and deletion. Markiro may seek clarification of contradictory or technically impossible instructions and reports instructions it reasonably believes violate applicable law.</w:t>
      </w:r>
    </w:p>
    <w:p>
      <w:pPr>
        <w:pStyle w:val="Heading1"/>
      </w:pPr>
      <w:r>
        <w:t xml:space="preserve">5. Markiro processor duties</w:t>
      </w:r>
    </w:p>
    <w:p>
      <w:r>
        <w:t xml:space="preserve">Markiro processes only on documented instruction, binds authorized personnel to confidentiality, applies proportionate security, preserves tenant isolation, and provides agreed evidence needed to demonstrate instruction compliance.</w:t>
      </w:r>
    </w:p>
    <w:p>
      <w:r>
        <w:t xml:space="preserve">Markiro does not use tenant data for advertising, independent employee profiling, or third-party purposes and does not silently expand the instruction through interface settings.</w:t>
      </w:r>
    </w:p>
    <w:p>
      <w:pPr>
        <w:pStyle w:val="Heading1"/>
      </w:pPr>
      <w:r>
        <w:t xml:space="preserve">6. Subprocessors</w:t>
      </w:r>
    </w:p>
    <w:p>
      <w:r>
        <w:t xml:space="preserve">A subprocessor may be engaged under terms agreed with the tenant or established by contract. Markiro maintains the material processor set, transfers only necessary data, and imposes comparable confidentiality, security, and deletion duties.</w:t>
      </w:r>
    </w:p>
    <w:p>
      <w:pPr>
        <w:pStyle w:val="Heading1"/>
      </w:pPr>
      <w:r>
        <w:t xml:space="preserve">7. Incidents, evidence, and assistance</w:t>
      </w:r>
    </w:p>
    <w:p>
      <w:r>
        <w:t xml:space="preserve">Without undue delay, Markiro informs the tenant of a confirmed incident affecting instructed data using available verified facts, assists containment, and supplies later clarifications.</w:t>
      </w:r>
    </w:p>
    <w:p>
      <w:r>
        <w:t xml:space="preserve">Taking processing nature into account, Markiro assists with subject requests, security assessments, measure evidence, and mandatory-notice preparation. The tenant retains the legal decision and response as controller.</w:t>
      </w:r>
    </w:p>
    <w:p>
      <w:pPr>
        <w:pStyle w:val="Heading1"/>
      </w:pPr>
      <w:r>
        <w:t xml:space="preserve">8. Return and deletion</w:t>
      </w:r>
    </w:p>
    <w:p>
      <w:r>
        <w:t xml:space="preserve">After the instruction ends, Markiro provides an available export and deletes instructed data as selected in the issued document, unless a mandatory rule requires limited retention. Backups age out under the established cycle and are not used for ordinary processing.</w:t>
      </w:r>
    </w:p>
    <w:p>
      <w:pPr>
        <w:pStyle w:val="Heading1"/>
      </w:pPr>
      <w:r>
        <w:t xml:space="preserve">9. Markiro independent processing</w:t>
      </w:r>
    </w:p>
    <w:p>
      <w:r>
        <w:t xml:space="preserve">Markiro is an independent controller only for separately determined purposes such as billing, platform security, abuse response, and statutory records where Markiro determines the purpose and basis. Such processing is not described as an instruction and is disclosed in the relevant policy or contract.</w:t>
      </w:r>
    </w:p>
    <w:p>
      <w:pPr>
        <w:pStyle w:val="Heading1"/>
      </w:pPr>
      <w:r>
        <w:t xml:space="preserve">10. Execution and numbering</w:t>
      </w:r>
    </w:p>
    <w:p>
      <w:r>
        <w:t xml:space="preserve">Template code: MKR-DPA-01. Revision: 2026.08.01. Template effective date: 2026-08-15. A completed and executed document receives a unique individual number; the common template code is not proof of execution.</w:t>
      </w:r>
    </w:p>
    <w:p>
      <w:r>
        <w:t xml:space="preserve">The Russian text is authoritative. This English text is an informational translation of the same revision.</w:t>
      </w:r>
    </w:p>
    <w:sectPr>
      <w:headerReference w:type="default" r:id="rId7"/>
      <w:headerReference w:type="first" r:id="rId8"/>
      <w:footerReference w:type="default" r:id="rId9"/>
      <w:footerReference w:type="first" r:id="rId10"/>
      <w:pgSz w:w="11906" w:h="16838" w:orient="portrait"/>
      <w:pgMar w:top="1134" w:right="1134" w:bottom="1134" w:left="1134" w:header="284" w:footer="28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E0DED7" w:sz="4"/>
        <w:left w:val="none" w:color="FAFAF8" w:sz="0"/>
        <w:bottom w:val="none" w:color="FAFAF8" w:sz="0"/>
        <w:right w:val="none" w:color="FAFAF8" w:sz="0"/>
        <w:insideH w:val="none" w:color="FAFAF8" w:sz="0"/>
        <w:insideV w:val="none" w:color="FAFAF8" w:sz="0"/>
      </w:tblBorders>
      <w:tblLayout w:type="fixed"/>
    </w:tblPr>
    <w:tblGrid>
      <w:gridCol w:w="850"/>
      <w:gridCol w:w="8788"/>
    </w:tblGrid>
    <w:tr>
      <w:trPr>
        <w:trHeight w:val="794" w:hRule="exact"/>
      </w:trPr>
      <w:tc>
        <w:tcPr>
          <w:tcW w:type="dxa" w:w="850"/>
          <w:tcBorders>
            <w:top w:val="none" w:color="FAFAF8" w:sz="0"/>
            <w:left w:val="none" w:color="FAFAF8" w:sz="0"/>
            <w:bottom w:val="none" w:color="FAFAF8" w:sz="0"/>
            <w:right w:val="none" w:color="FAFAF8" w:sz="0"/>
          </w:tcBorders>
          <w:tcMar>
            <w:top w:type="dxa" w:w="0"/>
            <w:left w:type="dxa" w:w="0"/>
            <w:bottom w:type="dxa" w:w="0"/>
            <w:right w:type="dxa" w:w="120"/>
          </w:tcMar>
          <w:vAlign w:val="center"/>
        </w:tcPr>
        <w:p>
          <w:pPr>
            <w:spacing w:after="0" w:before="0"/>
          </w:pPr>
          <w:r>
            <w:drawing>
              <wp:inline distT="0" distB="0" distL="0" distR="0">
                <wp:extent cx="447675" cy="447675"/>
                <wp:effectExtent t="0" r="0" b="0" l="0"/>
                <wp:docPr id="1" name="Verification Data Matrix" descr="Verification Data Matrix" title="Verification Data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447675" cy="447675"/>
                        </a:xfrm>
                        <a:prstGeom prst="rect">
                          <a:avLst/>
                        </a:prstGeom>
                      </pic:spPr>
                    </pic:pic>
                  </a:graphicData>
                </a:graphic>
              </wp:inline>
            </w:drawing>
          </w:r>
        </w:p>
      </w:tc>
      <w:tc>
        <w:tcPr>
          <w:tcW w:type="dxa" w:w="8788"/>
          <w:tcBorders>
            <w:top w:val="none" w:color="FAFAF8" w:sz="0"/>
            <w:left w:val="none" w:color="FAFAF8" w:sz="0"/>
            <w:bottom w:val="none" w:color="FAFAF8" w:sz="0"/>
            <w:right w:val="none" w:color="FAFAF8" w:sz="0"/>
          </w:tcBorders>
          <w:tcMar>
            <w:top w:type="dxa" w:w="0"/>
            <w:left w:type="dxa" w:w="100"/>
            <w:bottom w:type="dxa" w:w="0"/>
            <w:right w:type="dxa" w:w="0"/>
          </w:tcMar>
          <w:vAlign w:val="center"/>
        </w:tcPr>
        <w:p>
          <w:pPr>
            <w:pStyle w:val="MetaMono"/>
          </w:pPr>
          <w:r>
            <w:rPr>
              <w:b/>
              <w:bCs/>
            </w:rPr>
            <w:t xml:space="preserve">MKR-DPA-01 · 2026.08.01 · 2026-08-15</w:t>
          </w:r>
          <w:r>
            <w:t xml:space="preserve">
https://markiro.app/d/MKR-DPA-01/2026.08.01/2026-08-15</w:t>
          </w:r>
          <w:r>
            <w:t xml:space="preserve">
Page </w:t>
          </w:r>
          <w:r>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E0DED7" w:sz="4"/>
        <w:left w:val="none" w:color="FAFAF8" w:sz="0"/>
        <w:bottom w:val="none" w:color="FAFAF8" w:sz="0"/>
        <w:right w:val="none" w:color="FAFAF8" w:sz="0"/>
        <w:insideH w:val="none" w:color="FAFAF8" w:sz="0"/>
        <w:insideV w:val="none" w:color="FAFAF8" w:sz="0"/>
      </w:tblBorders>
      <w:tblLayout w:type="fixed"/>
    </w:tblPr>
    <w:tblGrid>
      <w:gridCol w:w="850"/>
      <w:gridCol w:w="8788"/>
    </w:tblGrid>
    <w:tr>
      <w:trPr>
        <w:trHeight w:val="907" w:hRule="exact"/>
      </w:trPr>
      <w:tc>
        <w:tcPr>
          <w:tcW w:type="dxa" w:w="850"/>
          <w:tcBorders>
            <w:top w:val="none" w:color="FAFAF8" w:sz="0"/>
            <w:left w:val="none" w:color="FAFAF8" w:sz="0"/>
            <w:bottom w:val="none" w:color="FAFAF8" w:sz="0"/>
            <w:right w:val="none" w:color="FAFAF8" w:sz="0"/>
          </w:tcBorders>
          <w:tcMar>
            <w:top w:type="dxa" w:w="0"/>
            <w:left w:type="dxa" w:w="0"/>
            <w:bottom w:type="dxa" w:w="0"/>
            <w:right w:type="dxa" w:w="120"/>
          </w:tcMar>
          <w:vAlign w:val="center"/>
        </w:tcPr>
        <w:p>
          <w:pPr>
            <w:spacing w:after="0" w:before="0"/>
          </w:pPr>
          <w:r>
            <w:drawing>
              <wp:inline distT="0" distB="0" distL="0" distR="0">
                <wp:extent cx="447675" cy="447675"/>
                <wp:effectExtent t="0" r="0" b="0" l="0"/>
                <wp:docPr id="1" name="Verification Data Matrix" descr="Verification Data Matrix" title="Verification Data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447675" cy="447675"/>
                        </a:xfrm>
                        <a:prstGeom prst="rect">
                          <a:avLst/>
                        </a:prstGeom>
                      </pic:spPr>
                    </pic:pic>
                  </a:graphicData>
                </a:graphic>
              </wp:inline>
            </w:drawing>
          </w:r>
        </w:p>
      </w:tc>
      <w:tc>
        <w:tcPr>
          <w:tcW w:type="dxa" w:w="8788"/>
          <w:tcBorders>
            <w:top w:val="none" w:color="FAFAF8" w:sz="0"/>
            <w:left w:val="none" w:color="FAFAF8" w:sz="0"/>
            <w:bottom w:val="none" w:color="FAFAF8" w:sz="0"/>
            <w:right w:val="none" w:color="FAFAF8" w:sz="0"/>
          </w:tcBorders>
          <w:tcMar>
            <w:top w:type="dxa" w:w="0"/>
            <w:left w:type="dxa" w:w="100"/>
            <w:bottom w:type="dxa" w:w="0"/>
            <w:right w:type="dxa" w:w="0"/>
          </w:tcMar>
          <w:vAlign w:val="center"/>
        </w:tcPr>
        <w:p>
          <w:pPr>
            <w:pStyle w:val="MetaMono"/>
          </w:pPr>
          <w:r>
            <w:rPr>
              <w:b/>
              <w:bCs/>
            </w:rPr>
            <w:t xml:space="preserve">MKR-DPA-01 · 2026.08.01 · 2026-08-15</w:t>
          </w:r>
          <w:r>
            <w:t xml:space="preserve">
https://markiro.app/d/MKR-DPA-01/2026.08.01/2026-08-15</w:t>
          </w:r>
          <w:r>
            <w:t xml:space="preserve">
Page </w:t>
          </w:r>
          <w: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AFAF8" w:sz="0"/>
        <w:left w:val="none" w:color="FAFAF8" w:sz="0"/>
        <w:bottom w:val="none" w:color="FAFAF8" w:sz="0"/>
        <w:right w:val="none" w:color="FAFAF8" w:sz="0"/>
        <w:insideH w:val="none" w:color="FAFAF8" w:sz="0"/>
        <w:insideV w:val="none" w:color="FAFAF8" w:sz="0"/>
      </w:tblBorders>
      <w:tblLayout w:type="fixed"/>
    </w:tblPr>
    <w:tblGrid>
      <w:gridCol w:w="6236"/>
      <w:gridCol w:w="3402"/>
    </w:tblGrid>
    <w:tr>
      <w:trPr>
        <w:trHeight w:val="510" w:hRule="exact"/>
      </w:trPr>
      <w:tc>
        <w:tcPr>
          <w:tcW w:type="dxa" w:w="6236"/>
          <w:tcBorders>
            <w:top w:val="none" w:color="FAFAF8" w:sz="0"/>
            <w:left w:val="none" w:color="FAFAF8" w:sz="0"/>
            <w:bottom w:val="none" w:color="FAFAF8" w:sz="0"/>
            <w:right w:val="none" w:color="FAFAF8" w:sz="0"/>
          </w:tcBorders>
          <w:tcMar>
            <w:top w:type="dxa" w:w="0"/>
            <w:left w:type="dxa" w:w="0"/>
            <w:bottom w:type="dxa" w:w="0"/>
            <w:right w:type="dxa" w:w="0"/>
          </w:tcMar>
          <w:vAlign w:val="center"/>
        </w:tcPr>
        <w:p>
          <w:r>
            <w:drawing>
              <wp:inline distT="0" distB="0" distL="0" distR="0">
                <wp:extent cx="190500" cy="190500"/>
                <wp:effectExtent t="0" r="0" b="0" l="0"/>
                <wp:docPr id="1" name="Markiro symbol" descr="Markiro symbol" title="Markiro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190500" cy="190500"/>
                        </a:xfrm>
                        <a:prstGeom prst="rect">
                          <a:avLst/>
                        </a:prstGeom>
                      </pic:spPr>
                    </pic:pic>
                  </a:graphicData>
                </a:graphic>
              </wp:inline>
            </w:drawing>
          </w:r>
          <w:r>
            <w:rPr>
              <w:rFonts w:ascii="IBM Plex Mono" w:cs="IBM Plex Mono" w:eastAsia="IBM Plex Mono" w:hAnsi="IBM Plex Mono"/>
              <w:b/>
              <w:bCs/>
              <w:color w:val="17161A"/>
              <w:sz w:val="20"/>
              <w:szCs w:val="20"/>
            </w:rPr>
            <w:t xml:space="preserve">  MARKIRO</w:t>
          </w:r>
        </w:p>
      </w:tc>
      <w:tc>
        <w:tcPr>
          <w:tcW w:type="dxa" w:w="3402"/>
          <w:tcBorders>
            <w:top w:val="none" w:color="FAFAF8" w:sz="0"/>
            <w:left w:val="none" w:color="FAFAF8" w:sz="0"/>
            <w:bottom w:val="none" w:color="FAFAF8" w:sz="0"/>
            <w:right w:val="none" w:color="FAFAF8" w:sz="0"/>
          </w:tcBorders>
          <w:tcMar>
            <w:top w:type="dxa" w:w="0"/>
            <w:left w:type="dxa" w:w="80"/>
            <w:bottom w:type="dxa" w:w="0"/>
            <w:right w:type="dxa" w:w="0"/>
          </w:tcMar>
          <w:vAlign w:val="center"/>
        </w:tcPr>
        <w:p>
          <w:pPr>
            <w:pStyle w:val="MetaMono"/>
            <w:jc w:val="right"/>
          </w:pPr>
          <w:r>
            <w:rPr>
              <w:b/>
              <w:bCs/>
            </w:rPr>
            <w:t xml:space="preserve">MKR-DPA-01</w:t>
          </w:r>
          <w:r>
            <w:t xml:space="preserve">
MKR-DPA-01 · 2026.08.01</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AFAF8" w:sz="0"/>
        <w:left w:val="none" w:color="FAFAF8" w:sz="0"/>
        <w:bottom w:val="none" w:color="FAFAF8" w:sz="0"/>
        <w:right w:val="none" w:color="FAFAF8" w:sz="0"/>
        <w:insideH w:val="none" w:color="FAFAF8" w:sz="0"/>
        <w:insideV w:val="none" w:color="FAFAF8" w:sz="0"/>
      </w:tblBorders>
      <w:tblLayout w:type="fixed"/>
    </w:tblPr>
    <w:tblGrid>
      <w:gridCol w:w="6236"/>
      <w:gridCol w:w="3402"/>
    </w:tblGrid>
    <w:tr>
      <w:trPr>
        <w:trHeight w:val="680" w:hRule="exact"/>
      </w:trPr>
      <w:tc>
        <w:tcPr>
          <w:tcW w:type="dxa" w:w="6236"/>
          <w:tcBorders>
            <w:top w:val="none" w:color="FAFAF8" w:sz="0"/>
            <w:left w:val="none" w:color="FAFAF8" w:sz="0"/>
            <w:bottom w:val="none" w:color="FAFAF8" w:sz="0"/>
            <w:right w:val="none" w:color="FAFAF8" w:sz="0"/>
          </w:tcBorders>
          <w:tcMar>
            <w:top w:type="dxa" w:w="0"/>
            <w:left w:type="dxa" w:w="0"/>
            <w:bottom w:type="dxa" w:w="0"/>
            <w:right w:type="dxa" w:w="0"/>
          </w:tcMar>
          <w:vAlign w:val="center"/>
        </w:tcPr>
        <w:p>
          <w:r>
            <w:drawing>
              <wp:inline distT="0" distB="0" distL="0" distR="0">
                <wp:extent cx="266700" cy="266700"/>
                <wp:effectExtent t="0" r="0" b="0" l="0"/>
                <wp:docPr id="1" name="Markiro symbol" descr="Markiro symbol" title="Markiro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266700" cy="266700"/>
                        </a:xfrm>
                        <a:prstGeom prst="rect">
                          <a:avLst/>
                        </a:prstGeom>
                      </pic:spPr>
                    </pic:pic>
                  </a:graphicData>
                </a:graphic>
              </wp:inline>
            </w:drawing>
          </w:r>
          <w:r>
            <w:rPr>
              <w:rFonts w:ascii="IBM Plex Mono" w:cs="IBM Plex Mono" w:eastAsia="IBM Plex Mono" w:hAnsi="IBM Plex Mono"/>
              <w:b/>
              <w:bCs/>
              <w:color w:val="17161A"/>
              <w:sz w:val="25"/>
              <w:szCs w:val="25"/>
            </w:rPr>
            <w:t xml:space="preserve">  MARKIRO</w:t>
          </w:r>
        </w:p>
      </w:tc>
      <w:tc>
        <w:tcPr>
          <w:tcW w:type="dxa" w:w="3402"/>
          <w:tcBorders>
            <w:top w:val="none" w:color="FAFAF8" w:sz="0"/>
            <w:left w:val="none" w:color="FAFAF8" w:sz="0"/>
            <w:bottom w:val="none" w:color="FAFAF8" w:sz="0"/>
            <w:right w:val="none" w:color="FAFAF8" w:sz="0"/>
          </w:tcBorders>
          <w:tcMar>
            <w:top w:type="dxa" w:w="0"/>
            <w:left w:type="dxa" w:w="80"/>
            <w:bottom w:type="dxa" w:w="0"/>
            <w:right w:type="dxa" w:w="0"/>
          </w:tcMar>
          <w:vAlign w:val="center"/>
        </w:tcPr>
        <w:p>
          <w:pPr>
            <w:pStyle w:val="MetaMono"/>
            <w:jc w:val="right"/>
          </w:pPr>
          <w:r>
            <w:rPr>
              <w:b/>
              <w:bCs/>
            </w:rPr>
            <w:t xml:space="preserve">PUBLIC DOCUMENT</w:t>
          </w:r>
          <w:r>
            <w:t xml:space="preserve">
MKR-DPA-01 · 2026.08.01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40"/>
      </w:pPr>
    </w:lvl>
  </w:abstractNum>
  <w:abstractNum w:abstractNumId="3" w15:restartNumberingAfterBreak="0">
    <w:multiLevelType w:val="hybridMultilevel"/>
    <w:lvl w:ilvl="0" w15:tentative="1">
      <w:start w:val="1"/>
      <w:numFmt w:val="decimal"/>
      <w:lvlText w:val="%1."/>
      <w:lvlJc w:val="start"/>
      <w:pPr>
        <w:ind w:left="4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7161A"/>
        <w:sz w:val="20"/>
        <w:szCs w:val="20"/>
      </w:rPr>
    </w:rPrDefault>
    <w:pPrDefault>
      <w:pPr>
        <w:spacing w:after="100" w:line="260"/>
      </w:pPr>
    </w:pPrDefault>
  </w:docDefaults>
  <w:style w:type="paragraph" w:styleId="Title">
    <w:name w:val="Title"/>
    <w:basedOn w:val="Normal"/>
    <w:next w:val="Normal"/>
    <w:qFormat/>
    <w:pPr>
      <w:spacing w:after="160" w:before="0"/>
      <w:outlineLvl w:val="0"/>
    </w:pPr>
    <w:rPr>
      <w:rFonts w:ascii="IBM Plex Sans" w:cs="IBM Plex Sans" w:eastAsia="IBM Plex Sans" w:hAnsi="IBM Plex Sans"/>
      <w:b/>
      <w:bCs/>
      <w:color w:val="17161A"/>
      <w:sz w:val="40"/>
      <w:szCs w:val="40"/>
    </w:rPr>
  </w:style>
  <w:style w:type="paragraph" w:styleId="Heading1">
    <w:name w:val="Heading 1"/>
    <w:basedOn w:val="Normal"/>
    <w:next w:val="Normal"/>
    <w:qFormat/>
    <w:pPr>
      <w:keepNext/>
      <w:spacing w:after="90" w:before="240"/>
      <w:outlineLvl w:val="0"/>
    </w:pPr>
    <w:rPr>
      <w:rFonts w:ascii="IBM Plex Sans" w:cs="IBM Plex Sans" w:eastAsia="IBM Plex Sans" w:hAnsi="IBM Plex Sans"/>
      <w:b/>
      <w:bCs/>
      <w:color w:val="17161A"/>
      <w:sz w:val="25"/>
      <w:szCs w:val="25"/>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70"/>
    </w:pPr>
    <w:rPr>
      <w:rFonts w:ascii="IBM Plex Sans" w:cs="IBM Plex Sans" w:eastAsia="IBM Plex Sans" w:hAnsi="IBM Plex Sans"/>
      <w:color w:val="17161A"/>
      <w:sz w:val="20"/>
      <w:szCs w:val="20"/>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Summary">
    <w:name w:val="Document Summary"/>
    <w:basedOn w:val="Normal"/>
    <w:next w:val="Normal"/>
    <w:qFormat/>
    <w:pPr>
      <w:spacing w:line="280"/>
    </w:pPr>
    <w:rPr>
      <w:rFonts w:ascii="IBM Plex Sans" w:cs="IBM Plex Sans" w:eastAsia="IBM Plex Sans" w:hAnsi="IBM Plex Sans"/>
      <w:color w:val="6B6862"/>
      <w:sz w:val="21"/>
      <w:szCs w:val="21"/>
    </w:rPr>
  </w:style>
  <w:style w:type="paragraph" w:styleId="MetaMono">
    <w:name w:val="Metadata Mono"/>
    <w:basedOn w:val="Normal"/>
    <w:next w:val="Normal"/>
    <w:pPr>
      <w:spacing w:after="0" w:before="0" w:line="220"/>
    </w:pPr>
    <w:rPr>
      <w:rFonts w:ascii="IBM Plex Mono" w:cs="IBM Plex Mono" w:eastAsia="IBM Plex Mono" w:hAnsi="IBM Plex Mono"/>
      <w:color w:val="17161A"/>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8d20ef47d1f9f3d9e5f0801823df517dd404f27.svg"/><Relationship Id="rId1" Type="http://schemas.openxmlformats.org/officeDocument/2006/relationships/image" Target="media/2db581f7c3df4b9d74a029a3f08c7b2566826b82.png"/></Relationships>
</file>

<file path=word/_rels/footer2.xml.rels><?xml version="1.0" encoding="UTF-8"?><Relationships xmlns="http://schemas.openxmlformats.org/package/2006/relationships"><Relationship Id="rId0" Type="http://schemas.openxmlformats.org/officeDocument/2006/relationships/image" Target="media/e8d20ef47d1f9f3d9e5f0801823df517dd404f27.svg"/><Relationship Id="rId1" Type="http://schemas.openxmlformats.org/officeDocument/2006/relationships/image" Target="media/2db581f7c3df4b9d74a029a3f08c7b2566826b8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5c3268a3cf02cc754a0352e4e93ce67747321e4.svg"/><Relationship Id="rId1" Type="http://schemas.openxmlformats.org/officeDocument/2006/relationships/image" Target="media/6132ca6cb8aba12dea49d210fbfb28728036789e.png"/></Relationships>
</file>

<file path=word/_rels/header2.xml.rels><?xml version="1.0" encoding="UTF-8"?><Relationships xmlns="http://schemas.openxmlformats.org/package/2006/relationships"><Relationship Id="rId0" Type="http://schemas.openxmlformats.org/officeDocument/2006/relationships/image" Target="media/f5c3268a3cf02cc754a0352e4e93ce67747321e4.svg"/><Relationship Id="rId1" Type="http://schemas.openxmlformats.org/officeDocument/2006/relationships/image" Target="media/6132ca6cb8aba12dea49d210fbfb28728036789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Tenant Personal Data Processing Instruction</dc:title>
  <dc:subject>MKR-DPA-01/2026.08.01</dc:subject>
  <dc:creator>Markiro</dc:creator>
  <dc:description>This is an informational translation. The matching Russian revision is authoritative. This template separates the tenant-controller and Markiro-processor roles.</dc:description>
  <cp:lastModifiedBy>Markiro legal artifact generator</cp:lastModifiedBy>
  <cp:revision>1</cp:revision>
  <dcterms:created xsi:type="dcterms:W3CDTF">2026-08-15T00:00:00Z</dcterms:created>
  <dcterms:modified xsi:type="dcterms:W3CDTF">2026-08-15T00:00:00Z</dcterms:modified>
</cp:coreProperties>
</file>

<file path=docProps/custom.xml><?xml version="1.0" encoding="utf-8"?>
<Properties xmlns="http://schemas.openxmlformats.org/officeDocument/2006/custom-properties" xmlns:vt="http://schemas.openxmlformats.org/officeDocument/2006/docPropsVTypes"/>
</file>