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PREP SYSTEM</w:t>
      </w:r>
    </w:p>
    <w:p>
      <w:r>
        <w:rPr>
          <w:i/>
          <w:iCs/>
          <w:color w:val="666666"/>
          <w:sz w:val="28"/>
          <w:szCs w:val="28"/>
        </w:rPr>
        <w:t xml:space="preserve">Intermediate Guide</w:t>
      </w:r>
    </w:p>
    <w:p>
      <w:pPr>
        <w:spacing w:after="200"/>
      </w:pPr>
      <w:r>
        <w:rPr>
          <w:sz w:val="22"/>
          <w:szCs w:val="22"/>
        </w:rPr>
        <w:t xml:space="preserve">For managers, supervisors, and anyone configuring or troubleshooting the system.</w:t>
      </w:r>
    </w:p>
    <w:p>
      <w:pPr>
        <w:pStyle w:val="Heading2"/>
      </w:pPr>
      <w:r>
        <w:t xml:space="preserve">System Overview</w:t>
      </w:r>
    </w:p>
    <w:p>
      <w:pPr>
        <w:spacing w:after="80"/>
      </w:pPr>
      <w:r>
        <w:t xml:space="preserve">PREP SYSTEM connects four platforms in sequence:</w:t>
      </w:r>
    </w:p>
    <w:p>
      <w:pPr>
        <w:pStyle w:val="ListParagraph"/>
        <w:numPr>
          <w:ilvl w:val="0"/>
          <w:numId w:val="2"/>
        </w:numPr>
      </w:pPr>
      <w:r>
        <w:rPr>
          <w:b/>
          <w:bCs/>
        </w:rPr>
        <w:t xml:space="preserve">Airtable</w:t>
      </w:r>
      <w:r>
        <w:t xml:space="preserve"> – stores data and runs automations</w:t>
      </w:r>
    </w:p>
    <w:p>
      <w:pPr>
        <w:pStyle w:val="ListParagraph"/>
        <w:numPr>
          <w:ilvl w:val="0"/>
          <w:numId w:val="2"/>
        </w:numPr>
      </w:pPr>
      <w:r>
        <w:rPr>
          <w:b/>
          <w:bCs/>
        </w:rPr>
        <w:t xml:space="preserve">Google Apps Script</w:t>
      </w:r>
      <w:r>
        <w:t xml:space="preserve"> – processes data</w:t>
      </w:r>
    </w:p>
    <w:p>
      <w:pPr>
        <w:pStyle w:val="ListParagraph"/>
        <w:numPr>
          <w:ilvl w:val="0"/>
          <w:numId w:val="2"/>
        </w:numPr>
      </w:pPr>
      <w:r>
        <w:rPr>
          <w:b/>
          <w:bCs/>
        </w:rPr>
        <w:t xml:space="preserve">Google Docs</w:t>
      </w:r>
      <w:r>
        <w:t xml:space="preserve"> – generates output documents</w:t>
      </w:r>
    </w:p>
    <w:p>
      <w:pPr>
        <w:pStyle w:val="ListParagraph"/>
        <w:numPr>
          <w:ilvl w:val="0"/>
          <w:numId w:val="2"/>
        </w:numPr>
        <w:spacing w:after="200"/>
      </w:pPr>
      <w:r>
        <w:rPr>
          <w:b/>
          <w:bCs/>
        </w:rPr>
        <w:t xml:space="preserve">Slack</w:t>
      </w:r>
      <w:r>
        <w:t xml:space="preserve"> – sends team notifications</w:t>
      </w:r>
    </w:p>
    <w:p>
      <w:pPr>
        <w:pStyle w:val="Heading2"/>
      </w:pPr>
      <w:r>
        <w:t xml:space="preserve">The Five Core Automations</w:t>
      </w:r>
    </w:p>
    <w:p>
      <w:pPr>
        <w:spacing w:after="120"/>
      </w:pPr>
      <w:r>
        <w:t xml:space="preserve">Each automation is triggered by a button in Airtable.</w:t>
      </w:r>
    </w:p>
    <w:p>
      <w:pPr>
        <w:pStyle w:val="Heading3"/>
      </w:pPr>
      <w:r>
        <w:t xml:space="preserve">1. Clear Weekly Count</w:t>
      </w:r>
    </w:p>
    <w:p>
      <w:r>
        <w:rPr>
          <w:b/>
          <w:bCs/>
        </w:rPr>
        <w:t xml:space="preserve">When: </w:t>
      </w:r>
      <w:r>
        <w:t xml:space="preserve">Saturday morning (start of stocktake)</w:t>
      </w:r>
    </w:p>
    <w:p>
      <w:pPr>
        <w:spacing w:after="80"/>
      </w:pPr>
      <w:r>
        <w:rPr>
          <w:b/>
          <w:bCs/>
        </w:rPr>
        <w:t xml:space="preserve">What it does: </w:t>
      </w:r>
      <w:r>
        <w:t xml:space="preserve">Resets the Weekly Counts table, creates placeholder records for all active items, and prepares the system for a new stocktake.</w:t>
      </w:r>
    </w:p>
    <w:p>
      <w:pPr>
        <w:spacing w:after="160"/>
      </w:pPr>
      <w:r>
        <w:rPr>
          <w:i/>
          <w:iCs/>
        </w:rPr>
        <w:t xml:space="preserve">Note: </w:t>
      </w:r>
      <w:r>
        <w:t xml:space="preserve">Only processes items where Active = true. Filters by Item Type: Batch, Sub Recipe, Garnish, Other.</w:t>
      </w:r>
    </w:p>
    <w:p>
      <w:pPr>
        <w:pStyle w:val="Heading3"/>
      </w:pPr>
      <w:r>
        <w:t xml:space="preserve">2. Finalise Count</w:t>
      </w:r>
    </w:p>
    <w:p>
      <w:r>
        <w:rPr>
          <w:b/>
          <w:bCs/>
        </w:rPr>
        <w:t xml:space="preserve">When: </w:t>
      </w:r>
      <w:r>
        <w:t xml:space="preserve">Monday morning (after stocktake complete)</w:t>
      </w:r>
    </w:p>
    <w:p>
      <w:pPr>
        <w:spacing w:after="80"/>
      </w:pPr>
      <w:r>
        <w:rPr>
          <w:b/>
          <w:bCs/>
        </w:rPr>
        <w:t xml:space="preserve">What it does: </w:t>
      </w:r>
      <w:r>
        <w:t xml:space="preserve">Validates all counts are entered, sets Confirmed = true on valid counts, marks count source as "Stocktake (Verified)", and checks recipe integrity (warnings only).</w:t>
      </w:r>
    </w:p>
    <w:p>
      <w:pPr>
        <w:spacing w:after="160"/>
      </w:pPr>
      <w:r>
        <w:rPr>
          <w:b/>
          <w:bCs/>
        </w:rPr>
        <w:t xml:space="preserve">Validation checks: </w:t>
      </w:r>
      <w:r>
        <w:t xml:space="preserve">Every item must have a stock count, recipe items should have valid recipes, and recipe yields must be defined.</w:t>
      </w:r>
    </w:p>
    <w:p>
      <w:pPr>
        <w:pStyle w:val="Heading3"/>
      </w:pPr>
      <w:r>
        <w:t xml:space="preserve">3. Generate Prep Run</w:t>
      </w:r>
    </w:p>
    <w:p>
      <w:r>
        <w:rPr>
          <w:b/>
          <w:bCs/>
        </w:rPr>
        <w:t xml:space="preserve">When: </w:t>
      </w:r>
      <w:r>
        <w:t xml:space="preserve">Monday (after finalising count)</w:t>
      </w:r>
    </w:p>
    <w:p>
      <w:pPr>
        <w:spacing w:after="80"/>
      </w:pPr>
      <w:r>
        <w:rPr>
          <w:b/>
          <w:bCs/>
        </w:rPr>
        <w:t xml:space="preserve">What it does: </w:t>
      </w:r>
      <w:r>
        <w:t xml:space="preserve">Finds the latest verified stocktake, calculates shortfalls (Par Level minus Current Stock), creates Prep Tasks for items below par, calculates batches needed (Shortfall divided by Recipe Yield), and creates Ingredient Requirements.</w:t>
      </w:r>
    </w:p>
    <w:p>
      <w:pPr>
        <w:shd w:fill="F5F5F5" w:val="clear"/>
        <w:spacing w:after="160"/>
      </w:pPr>
      <w:r>
        <w:rPr>
          <w:b/>
          <w:bCs/>
        </w:rPr>
        <w:t xml:space="preserve">Example: </w:t>
      </w:r>
      <w:r>
        <w:t xml:space="preserve">If Par Level = 100 and Stock = 30, then Shortfall = 70. If Recipe Yield = 25 per batch, then Batches Needed = 3 batches (rounded up).</w:t>
      </w:r>
    </w:p>
    <w:p>
      <w:pPr>
        <w:pStyle w:val="Heading3"/>
      </w:pPr>
      <w:r>
        <w:t xml:space="preserve">4. Generate Prep Sheet</w:t>
      </w:r>
    </w:p>
    <w:p>
      <w:r>
        <w:rPr>
          <w:b/>
          <w:bCs/>
        </w:rPr>
        <w:t xml:space="preserve">When: </w:t>
      </w:r>
      <w:r>
        <w:t xml:space="preserve">After "Export" button clicked</w:t>
      </w:r>
    </w:p>
    <w:p>
      <w:pPr>
        <w:spacing w:after="160"/>
      </w:pPr>
      <w:r>
        <w:rPr>
          <w:b/>
          <w:bCs/>
        </w:rPr>
        <w:t xml:space="preserve">What it does: </w:t>
      </w:r>
      <w:r>
        <w:t xml:space="preserve">Polls the Prep Run Requests table, calls the Google Apps Script webhook, and updates request status.</w:t>
      </w:r>
    </w:p>
    <w:p>
      <w:pPr>
        <w:pStyle w:val="Heading3"/>
      </w:pPr>
      <w:r>
        <w:t xml:space="preserve">5. Google Docs Export</w:t>
      </w:r>
    </w:p>
    <w:p>
      <w:r>
        <w:rPr>
          <w:b/>
          <w:bCs/>
        </w:rPr>
        <w:t xml:space="preserve">When: </w:t>
      </w:r>
      <w:r>
        <w:t xml:space="preserve">Triggered by Generate Prep Sheet</w:t>
      </w:r>
    </w:p>
    <w:p>
      <w:pPr>
        <w:spacing w:after="200"/>
      </w:pPr>
      <w:r>
        <w:rPr>
          <w:b/>
          <w:bCs/>
        </w:rPr>
        <w:t xml:space="preserve">What it does: </w:t>
      </w:r>
      <w:r>
        <w:t xml:space="preserve">Creates 4 Google Docs in a dated folder, sends Slack notifications to appropriate channels, and updates Prep Run with folder link.</w:t>
      </w:r>
    </w:p>
    <w:p>
      <w:r>
        <w:br w:type="page"/>
      </w:r>
    </w:p>
    <w:p>
      <w:pPr>
        <w:pStyle w:val="Heading2"/>
      </w:pPr>
      <w:r>
        <w:t xml:space="preserve">Airtable Tables Reference</w:t>
      </w:r>
    </w:p>
    <w:p>
      <w:pPr>
        <w:pStyle w:val="Heading3"/>
      </w:pPr>
      <w:r>
        <w:t xml:space="preserve">Core Tables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00"/>
      </w:tblGrid>
      <w:tr>
        <w:tc>
          <w:tcPr>
            <w:tcW w:type="dxa" w:w="2500"/>
            <w:tcBorders>
              <w:top w:val="single" w:color="CCCCCC" w:sz="1"/>
              <w:left w:val="single" w:color="CCCCCC" w:sz="1"/>
              <w:bottom w:val="single" w:color="CCCCCC" w:sz="1"/>
              <w:right w:val="single" w:color="CCCCCC" w:sz="1"/>
            </w:tcBorders>
            <w:shd w:fill="2E5A88" w:val="clear"/>
            <w:tcMar>
              <w:top w:type="dxa" w:w="60"/>
              <w:left w:type="dxa" w:w="100"/>
              <w:bottom w:type="dxa" w:w="60"/>
              <w:right w:type="dxa" w:w="100"/>
            </w:tcMar>
          </w:tcPr>
          <w:p>
            <w:r>
              <w:rPr>
                <w:b/>
                <w:bCs/>
                <w:color w:val="FFFFFF"/>
                <w:sz w:val="22"/>
                <w:szCs w:val="22"/>
              </w:rPr>
              <w:t xml:space="preserve">Table</w:t>
            </w:r>
          </w:p>
        </w:tc>
        <w:tc>
          <w:tcPr>
            <w:tcW w:type="dxa" w:w="3000"/>
            <w:tcBorders>
              <w:top w:val="single" w:color="CCCCCC" w:sz="1"/>
              <w:left w:val="single" w:color="CCCCCC" w:sz="1"/>
              <w:bottom w:val="single" w:color="CCCCCC" w:sz="1"/>
              <w:right w:val="single" w:color="CCCCCC" w:sz="1"/>
            </w:tcBorders>
            <w:shd w:fill="2E5A88" w:val="clear"/>
            <w:tcMar>
              <w:top w:type="dxa" w:w="60"/>
              <w:left w:type="dxa" w:w="100"/>
              <w:bottom w:type="dxa" w:w="60"/>
              <w:right w:type="dxa" w:w="100"/>
            </w:tcMar>
          </w:tcPr>
          <w:p>
            <w:r>
              <w:rPr>
                <w:b/>
                <w:bCs/>
                <w:color w:val="FFFFFF"/>
                <w:sz w:val="22"/>
                <w:szCs w:val="22"/>
              </w:rPr>
              <w:t xml:space="preserve">Purpose</w:t>
            </w:r>
          </w:p>
        </w:tc>
        <w:tc>
          <w:tcPr>
            <w:tcW w:type="dxa" w:w="3500"/>
            <w:tcBorders>
              <w:top w:val="single" w:color="CCCCCC" w:sz="1"/>
              <w:left w:val="single" w:color="CCCCCC" w:sz="1"/>
              <w:bottom w:val="single" w:color="CCCCCC" w:sz="1"/>
              <w:right w:val="single" w:color="CCCCCC" w:sz="1"/>
            </w:tcBorders>
            <w:shd w:fill="2E5A88" w:val="clear"/>
            <w:tcMar>
              <w:top w:type="dxa" w:w="60"/>
              <w:left w:type="dxa" w:w="100"/>
              <w:bottom w:type="dxa" w:w="60"/>
              <w:right w:type="dxa" w:w="100"/>
            </w:tcMar>
          </w:tcPr>
          <w:p>
            <w:r>
              <w:rPr>
                <w:b/>
                <w:bCs/>
                <w:color w:val="FFFFFF"/>
                <w:sz w:val="22"/>
                <w:szCs w:val="22"/>
              </w:rPr>
              <w:t xml:space="preserve">Key Fields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2"/>
                <w:szCs w:val="22"/>
              </w:rPr>
              <w:t xml:space="preserve">Items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2"/>
                <w:szCs w:val="22"/>
              </w:rPr>
              <w:t xml:space="preserve">Product catalogue</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2"/>
                <w:szCs w:val="22"/>
              </w:rPr>
              <w:t xml:space="preserve">Item Name, Item Type, Active, Unit, Supplier</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2"/>
                <w:szCs w:val="22"/>
              </w:rPr>
              <w:t xml:space="preserve">Recipes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2"/>
                <w:szCs w:val="22"/>
              </w:rPr>
              <w:t xml:space="preserve">Production recipes</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2"/>
                <w:szCs w:val="22"/>
              </w:rPr>
              <w:t xml:space="preserve">Item Name (link), Yield Qty</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2"/>
                <w:szCs w:val="22"/>
              </w:rPr>
              <w:t xml:space="preserve">Recipe Lines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2"/>
                <w:szCs w:val="22"/>
              </w:rPr>
              <w:t xml:space="preserve">Ingredients per recipe</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2"/>
                <w:szCs w:val="22"/>
              </w:rPr>
              <w:t xml:space="preserve">Recipe (link), Item (link), Qty</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2"/>
                <w:szCs w:val="22"/>
              </w:rPr>
              <w:t xml:space="preserve">Par Levels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2"/>
                <w:szCs w:val="22"/>
              </w:rPr>
              <w:t xml:space="preserve">Stock targets</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2"/>
                <w:szCs w:val="22"/>
              </w:rPr>
              <w:t xml:space="preserve">Item Link, Par Qty</w:t>
            </w:r>
          </w:p>
        </w:tc>
      </w:tr>
    </w:tbl>
    <w:p>
      <w:pPr>
        <w:pStyle w:val="Heading3"/>
        <w:spacing w:before="200"/>
      </w:pPr>
      <w:r>
        <w:t xml:space="preserve">Operational Tables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00"/>
      </w:tblGrid>
      <w:tr>
        <w:tc>
          <w:tcPr>
            <w:tcW w:type="dxa" w:w="2500"/>
            <w:tcBorders>
              <w:top w:val="single" w:color="CCCCCC" w:sz="1"/>
              <w:left w:val="single" w:color="CCCCCC" w:sz="1"/>
              <w:bottom w:val="single" w:color="CCCCCC" w:sz="1"/>
              <w:right w:val="single" w:color="CCCCCC" w:sz="1"/>
            </w:tcBorders>
            <w:shd w:fill="2E5A88" w:val="clear"/>
            <w:tcMar>
              <w:top w:type="dxa" w:w="60"/>
              <w:left w:type="dxa" w:w="100"/>
              <w:bottom w:type="dxa" w:w="60"/>
              <w:right w:type="dxa" w:w="100"/>
            </w:tcMar>
          </w:tcPr>
          <w:p>
            <w:r>
              <w:rPr>
                <w:b/>
                <w:bCs/>
                <w:color w:val="FFFFFF"/>
                <w:sz w:val="22"/>
                <w:szCs w:val="22"/>
              </w:rPr>
              <w:t xml:space="preserve">Table</w:t>
            </w:r>
          </w:p>
        </w:tc>
        <w:tc>
          <w:tcPr>
            <w:tcW w:type="dxa" w:w="3000"/>
            <w:tcBorders>
              <w:top w:val="single" w:color="CCCCCC" w:sz="1"/>
              <w:left w:val="single" w:color="CCCCCC" w:sz="1"/>
              <w:bottom w:val="single" w:color="CCCCCC" w:sz="1"/>
              <w:right w:val="single" w:color="CCCCCC" w:sz="1"/>
            </w:tcBorders>
            <w:shd w:fill="2E5A88" w:val="clear"/>
            <w:tcMar>
              <w:top w:type="dxa" w:w="60"/>
              <w:left w:type="dxa" w:w="100"/>
              <w:bottom w:type="dxa" w:w="60"/>
              <w:right w:type="dxa" w:w="100"/>
            </w:tcMar>
          </w:tcPr>
          <w:p>
            <w:r>
              <w:rPr>
                <w:b/>
                <w:bCs/>
                <w:color w:val="FFFFFF"/>
                <w:sz w:val="22"/>
                <w:szCs w:val="22"/>
              </w:rPr>
              <w:t xml:space="preserve">Purpose</w:t>
            </w:r>
          </w:p>
        </w:tc>
        <w:tc>
          <w:tcPr>
            <w:tcW w:type="dxa" w:w="3500"/>
            <w:tcBorders>
              <w:top w:val="single" w:color="CCCCCC" w:sz="1"/>
              <w:left w:val="single" w:color="CCCCCC" w:sz="1"/>
              <w:bottom w:val="single" w:color="CCCCCC" w:sz="1"/>
              <w:right w:val="single" w:color="CCCCCC" w:sz="1"/>
            </w:tcBorders>
            <w:shd w:fill="2E5A88" w:val="clear"/>
            <w:tcMar>
              <w:top w:type="dxa" w:w="60"/>
              <w:left w:type="dxa" w:w="100"/>
              <w:bottom w:type="dxa" w:w="60"/>
              <w:right w:type="dxa" w:w="100"/>
            </w:tcMar>
          </w:tcPr>
          <w:p>
            <w:r>
              <w:rPr>
                <w:b/>
                <w:bCs/>
                <w:color w:val="FFFFFF"/>
                <w:sz w:val="22"/>
                <w:szCs w:val="22"/>
              </w:rPr>
              <w:t xml:space="preserve">Key Fields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2"/>
                <w:szCs w:val="22"/>
              </w:rPr>
              <w:t xml:space="preserve">Weekly Counts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2"/>
                <w:szCs w:val="22"/>
              </w:rPr>
              <w:t xml:space="preserve">Stocktake data</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2"/>
                <w:szCs w:val="22"/>
              </w:rPr>
              <w:t xml:space="preserve">Item, Stock Count, Confirmed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2"/>
                <w:szCs w:val="22"/>
              </w:rPr>
              <w:t xml:space="preserve">Prep Runs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2"/>
                <w:szCs w:val="22"/>
              </w:rPr>
              <w:t xml:space="preserve">Prep sessions</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2"/>
                <w:szCs w:val="22"/>
              </w:rPr>
              <w:t xml:space="preserve">Date, Link to Prep Guides, Export State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2"/>
                <w:szCs w:val="22"/>
              </w:rPr>
              <w:t xml:space="preserve">Prep Tasks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2"/>
                <w:szCs w:val="22"/>
              </w:rPr>
              <w:t xml:space="preserve">Items to produce</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2"/>
                <w:szCs w:val="22"/>
              </w:rPr>
              <w:t xml:space="preserve">Item Needed, Batches Needed, Target Qty</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2"/>
                <w:szCs w:val="22"/>
              </w:rPr>
              <w:t xml:space="preserve">Ingredient Requirements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2"/>
                <w:szCs w:val="22"/>
              </w:rPr>
              <w:t xml:space="preserve">Shopping list</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2"/>
                <w:szCs w:val="22"/>
              </w:rPr>
              <w:t xml:space="preserve">Item Link, Total Qty Needed, Supplier</w:t>
            </w:r>
          </w:p>
        </w:tc>
      </w:tr>
    </w:tbl>
    <w:p>
      <w:pPr>
        <w:pStyle w:val="Heading3"/>
        <w:spacing w:before="200"/>
      </w:pPr>
      <w:r>
        <w:t xml:space="preserve">System Tables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1"/>
              <w:left w:val="single" w:color="CCCCCC" w:sz="1"/>
              <w:bottom w:val="single" w:color="CCCCCC" w:sz="1"/>
              <w:right w:val="single" w:color="CCCCCC" w:sz="1"/>
            </w:tcBorders>
            <w:shd w:fill="2E5A88" w:val="clear"/>
            <w:tcMar>
              <w:top w:type="dxa" w:w="60"/>
              <w:left w:type="dxa" w:w="100"/>
              <w:bottom w:type="dxa" w:w="60"/>
              <w:right w:type="dxa" w:w="100"/>
            </w:tcMar>
          </w:tcPr>
          <w:p>
            <w:r>
              <w:rPr>
                <w:b/>
                <w:bCs/>
                <w:color w:val="FFFFFF"/>
                <w:sz w:val="22"/>
                <w:szCs w:val="22"/>
              </w:rPr>
              <w:t xml:space="preserve">Table</w:t>
            </w:r>
          </w:p>
        </w:tc>
        <w:tc>
          <w:tcPr>
            <w:tcW w:type="dxa" w:w="4500"/>
            <w:tcBorders>
              <w:top w:val="single" w:color="CCCCCC" w:sz="1"/>
              <w:left w:val="single" w:color="CCCCCC" w:sz="1"/>
              <w:bottom w:val="single" w:color="CCCCCC" w:sz="1"/>
              <w:right w:val="single" w:color="CCCCCC" w:sz="1"/>
            </w:tcBorders>
            <w:shd w:fill="2E5A88" w:val="clear"/>
            <w:tcMar>
              <w:top w:type="dxa" w:w="60"/>
              <w:left w:type="dxa" w:w="100"/>
              <w:bottom w:type="dxa" w:w="60"/>
              <w:right w:type="dxa" w:w="100"/>
            </w:tcMar>
          </w:tcPr>
          <w:p>
            <w:r>
              <w:rPr>
                <w:b/>
                <w:bCs/>
                <w:color w:val="FFFFFF"/>
                <w:sz w:val="22"/>
                <w:szCs w:val="22"/>
              </w:rPr>
              <w:t xml:space="preserve">Purpose</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2"/>
                <w:szCs w:val="22"/>
              </w:rPr>
              <w:t xml:space="preserve">Prep Run Requests</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2"/>
                <w:szCs w:val="22"/>
              </w:rPr>
              <w:t xml:space="preserve">Export queue</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2"/>
                <w:szCs w:val="22"/>
              </w:rPr>
              <w:t xml:space="preserve">Supplier</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2"/>
                <w:szCs w:val="22"/>
              </w:rPr>
              <w:t xml:space="preserve">Vendor info and ordering staff assignment</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2"/>
                <w:szCs w:val="22"/>
              </w:rPr>
              <w:t xml:space="preserve">Audit Log</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2"/>
                <w:szCs w:val="22"/>
              </w:rPr>
              <w:t xml:space="preserve">Execution history</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2"/>
                <w:szCs w:val="22"/>
              </w:rPr>
              <w:t xml:space="preserve">Feedback</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2"/>
                <w:szCs w:val="22"/>
              </w:rPr>
              <w:t xml:space="preserve">Staff feedback submissions</w:t>
            </w:r>
          </w:p>
        </w:tc>
      </w:tr>
    </w:tbl>
    <w:p>
      <w:pPr>
        <w:pStyle w:val="Heading2"/>
      </w:pPr>
      <w:r>
        <w:t xml:space="preserve">Configuration Tasks</w:t>
      </w:r>
    </w:p>
    <w:p>
      <w:pPr>
        <w:pStyle w:val="Heading3"/>
      </w:pPr>
      <w:r>
        <w:t xml:space="preserve">Adding a New Item</w:t>
      </w:r>
    </w:p>
    <w:p>
      <w:pPr>
        <w:pStyle w:val="ListParagraph"/>
        <w:numPr>
          <w:ilvl w:val="0"/>
          <w:numId w:val="2"/>
        </w:numPr>
      </w:pPr>
      <w:r>
        <w:t xml:space="preserve">Add to Items table with: Item Name, Item Type, Active = checked, Unit, and Supplier</w:t>
      </w:r>
    </w:p>
    <w:p>
      <w:pPr>
        <w:pStyle w:val="ListParagraph"/>
        <w:numPr>
          <w:ilvl w:val="0"/>
          <w:numId w:val="2"/>
        </w:numPr>
      </w:pPr>
      <w:r>
        <w:t xml:space="preserve">Add to Par Levels table: link to the item and set Par Qty</w:t>
      </w:r>
    </w:p>
    <w:p>
      <w:pPr>
        <w:pStyle w:val="ListParagraph"/>
        <w:numPr>
          <w:ilvl w:val="0"/>
          <w:numId w:val="2"/>
        </w:numPr>
        <w:spacing w:after="160"/>
      </w:pPr>
      <w:r>
        <w:t xml:space="preserve">If it’s produced (not purchased): create entry in Recipes table and add ingredients in Recipe Lines table</w:t>
      </w:r>
    </w:p>
    <w:p>
      <w:pPr>
        <w:pStyle w:val="Heading3"/>
      </w:pPr>
      <w:r>
        <w:t xml:space="preserve">Adjusting Par Levels</w:t>
      </w:r>
    </w:p>
    <w:p>
      <w:pPr>
        <w:spacing w:after="160"/>
      </w:pPr>
      <w:r>
        <w:t xml:space="preserve">Go to the Par Levels table, find the item, and update Par Qty. Changes take effect on the next prep run.</w:t>
      </w:r>
    </w:p>
    <w:p>
      <w:pPr>
        <w:pStyle w:val="Heading3"/>
      </w:pPr>
      <w:r>
        <w:t xml:space="preserve">Adding a New Supplier</w:t>
      </w:r>
    </w:p>
    <w:p>
      <w:pPr>
        <w:pStyle w:val="ListParagraph"/>
        <w:numPr>
          <w:ilvl w:val="0"/>
          <w:numId w:val="2"/>
        </w:numPr>
      </w:pPr>
      <w:r>
        <w:t xml:space="preserve">Add to Supplier table with Supplier Name and Ordering Staff (Gooch or Sabs)</w:t>
      </w:r>
    </w:p>
    <w:p>
      <w:pPr>
        <w:pStyle w:val="ListParagraph"/>
        <w:numPr>
          <w:ilvl w:val="0"/>
          <w:numId w:val="2"/>
        </w:numPr>
        <w:spacing w:after="160"/>
      </w:pPr>
      <w:r>
        <w:t xml:space="preserve">Link items to the supplier in the Items table</w:t>
      </w:r>
    </w:p>
    <w:p>
      <w:pPr>
        <w:pStyle w:val="Heading3"/>
      </w:pPr>
      <w:r>
        <w:t xml:space="preserve">Changing Ordering Staff Assignment</w:t>
      </w:r>
    </w:p>
    <w:p>
      <w:pPr>
        <w:spacing w:after="200"/>
      </w:pPr>
      <w:r>
        <w:t xml:space="preserve">Go to the Supplier table and change the "Ordering Staff" field. This affects which ordering list the supplier appears on.</w:t>
      </w:r>
    </w:p>
    <w:p>
      <w:pPr>
        <w:pStyle w:val="Heading2"/>
      </w:pPr>
      <w:r>
        <w:t xml:space="preserve">Output Documents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700"/>
        <w:gridCol w:w="2100"/>
        <w:gridCol w:w="4200"/>
      </w:tblGrid>
      <w:tr>
        <w:tc>
          <w:tcPr>
            <w:tcW w:type="dxa" w:w="2700"/>
            <w:tcBorders>
              <w:top w:val="single" w:color="CCCCCC" w:sz="1"/>
              <w:left w:val="single" w:color="CCCCCC" w:sz="1"/>
              <w:bottom w:val="single" w:color="CCCCCC" w:sz="1"/>
              <w:right w:val="single" w:color="CCCCCC" w:sz="1"/>
            </w:tcBorders>
            <w:shd w:fill="2E5A88" w:val="clear"/>
            <w:tcMar>
              <w:top w:type="dxa" w:w="60"/>
              <w:left w:type="dxa" w:w="100"/>
              <w:bottom w:type="dxa" w:w="60"/>
              <w:right w:type="dxa" w:w="100"/>
            </w:tcMar>
          </w:tcPr>
          <w:p>
            <w:r>
              <w:rPr>
                <w:b/>
                <w:bCs/>
                <w:color w:val="FFFFFF"/>
                <w:sz w:val="22"/>
                <w:szCs w:val="22"/>
              </w:rPr>
              <w:t xml:space="preserve">Document</w:t>
            </w:r>
          </w:p>
        </w:tc>
        <w:tc>
          <w:tcPr>
            <w:tcW w:type="dxa" w:w="2100"/>
            <w:tcBorders>
              <w:top w:val="single" w:color="CCCCCC" w:sz="1"/>
              <w:left w:val="single" w:color="CCCCCC" w:sz="1"/>
              <w:bottom w:val="single" w:color="CCCCCC" w:sz="1"/>
              <w:right w:val="single" w:color="CCCCCC" w:sz="1"/>
            </w:tcBorders>
            <w:shd w:fill="2E5A88" w:val="clear"/>
            <w:tcMar>
              <w:top w:type="dxa" w:w="60"/>
              <w:left w:type="dxa" w:w="100"/>
              <w:bottom w:type="dxa" w:w="60"/>
              <w:right w:type="dxa" w:w="100"/>
            </w:tcMar>
          </w:tcPr>
          <w:p>
            <w:r>
              <w:rPr>
                <w:b/>
                <w:bCs/>
                <w:color w:val="FFFFFF"/>
                <w:sz w:val="22"/>
                <w:szCs w:val="22"/>
              </w:rPr>
              <w:t xml:space="preserve">Audience</w:t>
            </w:r>
          </w:p>
        </w:tc>
        <w:tc>
          <w:tcPr>
            <w:tcW w:type="dxa" w:w="4200"/>
            <w:tcBorders>
              <w:top w:val="single" w:color="CCCCCC" w:sz="1"/>
              <w:left w:val="single" w:color="CCCCCC" w:sz="1"/>
              <w:bottom w:val="single" w:color="CCCCCC" w:sz="1"/>
              <w:right w:val="single" w:color="CCCCCC" w:sz="1"/>
            </w:tcBorders>
            <w:shd w:fill="2E5A88" w:val="clear"/>
            <w:tcMar>
              <w:top w:type="dxa" w:w="60"/>
              <w:left w:type="dxa" w:w="100"/>
              <w:bottom w:type="dxa" w:w="60"/>
              <w:right w:type="dxa" w:w="100"/>
            </w:tcMar>
          </w:tcPr>
          <w:p>
            <w:r>
              <w:rPr>
                <w:b/>
                <w:bCs/>
                <w:color w:val="FFFFFF"/>
                <w:sz w:val="22"/>
                <w:szCs w:val="22"/>
              </w:rPr>
              <w:t xml:space="preserve">Content</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2"/>
                <w:szCs w:val="22"/>
              </w:rPr>
              <w:t xml:space="preserve">Ingredient Prep List</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2"/>
                <w:szCs w:val="22"/>
              </w:rPr>
              <w:t xml:space="preserve">Prep team</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2"/>
                <w:szCs w:val="22"/>
              </w:rPr>
              <w:t xml:space="preserve">Sub-recipe tasks grouped by the batch they’re needed for</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2"/>
                <w:szCs w:val="22"/>
              </w:rPr>
              <w:t xml:space="preserve">Batching List</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2"/>
                <w:szCs w:val="22"/>
              </w:rPr>
              <w:t xml:space="preserve">Prep team</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2"/>
                <w:szCs w:val="22"/>
              </w:rPr>
              <w:t xml:space="preserve">Batch tasks with ingredients, quantities, method, and batches needed</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2"/>
                <w:szCs w:val="22"/>
              </w:rPr>
              <w:t xml:space="preserve">Gooch Ordering List</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2"/>
                <w:szCs w:val="22"/>
              </w:rPr>
              <w:t xml:space="preserve">Gooch</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2"/>
                <w:szCs w:val="22"/>
              </w:rPr>
              <w:t xml:space="preserve">Items grouped by supplier for Gooch’s suppliers</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2"/>
                <w:szCs w:val="22"/>
              </w:rPr>
              <w:t xml:space="preserve">Sabs Ordering List</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2"/>
                <w:szCs w:val="22"/>
              </w:rPr>
              <w:t xml:space="preserve">Sabs</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2"/>
                <w:szCs w:val="22"/>
              </w:rPr>
              <w:t xml:space="preserve">Items grouped by supplier for Sabs’ suppliers</w:t>
            </w:r>
          </w:p>
        </w:tc>
      </w:tr>
    </w:tbl>
    <w:p>
      <w:pPr>
        <w:pStyle w:val="Heading2"/>
      </w:pPr>
      <w:r>
        <w:t xml:space="preserve">Buffer Multiplier</w:t>
      </w:r>
    </w:p>
    <w:p>
      <w:pPr>
        <w:spacing w:after="80"/>
      </w:pPr>
      <w:r>
        <w:t xml:space="preserve">The system applies a 1.5× buffer to all quantities.</w:t>
      </w:r>
    </w:p>
    <w:p>
      <w:pPr>
        <w:shd w:fill="F5F5F5" w:val="clear"/>
        <w:spacing w:after="80"/>
      </w:pPr>
      <w:r>
        <w:rPr>
          <w:b/>
          <w:bCs/>
        </w:rPr>
        <w:t xml:space="preserve">Display format: </w:t>
      </w:r>
      <w:r>
        <w:t xml:space="preserve">100ml (1.5× = 150ml)</w:t>
      </w:r>
    </w:p>
    <w:p>
      <w:pPr>
        <w:spacing w:after="80"/>
      </w:pPr>
      <w:r>
        <w:t xml:space="preserve">This means the base calculation says 100ml is needed, but the system suggests ordering or making 150ml. This provides a safety margin for waste, mistakes, and variance.</w:t>
      </w:r>
    </w:p>
    <w:p>
      <w:pPr>
        <w:spacing w:after="200"/>
      </w:pPr>
      <w:r>
        <w:rPr>
          <w:b/>
          <w:bCs/>
        </w:rPr>
        <w:t xml:space="preserve">Per-item override: </w:t>
      </w:r>
      <w:r>
        <w:t xml:space="preserve">Set the "Buffer Multiplier" field on the Items table (default 1.0 = 100%).</w:t>
      </w:r>
    </w:p>
    <w:p>
      <w:r>
        <w:br w:type="page"/>
      </w:r>
    </w:p>
    <w:p>
      <w:pPr>
        <w:pStyle w:val="Heading2"/>
      </w:pPr>
      <w:r>
        <w:t xml:space="preserve">LIVE vs TEST Mode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00"/>
      </w:tblGrid>
      <w:tr>
        <w:tc>
          <w:tcPr>
            <w:tcW w:type="dxa" w:w="2400"/>
            <w:tcBorders>
              <w:top w:val="single" w:color="CCCCCC" w:sz="1"/>
              <w:left w:val="single" w:color="CCCCCC" w:sz="1"/>
              <w:bottom w:val="single" w:color="CCCCCC" w:sz="1"/>
              <w:right w:val="single" w:color="CCCCCC" w:sz="1"/>
            </w:tcBorders>
            <w:shd w:fill="2E5A88" w:val="clear"/>
            <w:tcMar>
              <w:top w:type="dxa" w:w="60"/>
              <w:left w:type="dxa" w:w="100"/>
              <w:bottom w:type="dxa" w:w="60"/>
              <w:right w:type="dxa" w:w="100"/>
            </w:tcMar>
          </w:tcPr>
          <w:p>
            <w:r>
              <w:rPr>
                <w:b/>
                <w:bCs/>
                <w:color w:val="FFFFFF"/>
                <w:sz w:val="22"/>
                <w:szCs w:val="22"/>
              </w:rPr>
              <w:t xml:space="preserve">Aspect</w:t>
            </w:r>
          </w:p>
        </w:tc>
        <w:tc>
          <w:tcPr>
            <w:tcW w:type="dxa" w:w="3300"/>
            <w:tcBorders>
              <w:top w:val="single" w:color="CCCCCC" w:sz="1"/>
              <w:left w:val="single" w:color="CCCCCC" w:sz="1"/>
              <w:bottom w:val="single" w:color="CCCCCC" w:sz="1"/>
              <w:right w:val="single" w:color="CCCCCC" w:sz="1"/>
            </w:tcBorders>
            <w:shd w:fill="2E5A88" w:val="clear"/>
            <w:tcMar>
              <w:top w:type="dxa" w:w="60"/>
              <w:left w:type="dxa" w:w="100"/>
              <w:bottom w:type="dxa" w:w="60"/>
              <w:right w:type="dxa" w:w="100"/>
            </w:tcMar>
          </w:tcPr>
          <w:p>
            <w:r>
              <w:rPr>
                <w:b/>
                <w:bCs/>
                <w:color w:val="FFFFFF"/>
                <w:sz w:val="22"/>
                <w:szCs w:val="22"/>
              </w:rPr>
              <w:t xml:space="preserve">LIVE Mode</w:t>
            </w:r>
          </w:p>
        </w:tc>
        <w:tc>
          <w:tcPr>
            <w:tcW w:type="dxa" w:w="3300"/>
            <w:tcBorders>
              <w:top w:val="single" w:color="CCCCCC" w:sz="1"/>
              <w:left w:val="single" w:color="CCCCCC" w:sz="1"/>
              <w:bottom w:val="single" w:color="CCCCCC" w:sz="1"/>
              <w:right w:val="single" w:color="CCCCCC" w:sz="1"/>
            </w:tcBorders>
            <w:shd w:fill="2E5A88" w:val="clear"/>
            <w:tcMar>
              <w:top w:type="dxa" w:w="60"/>
              <w:left w:type="dxa" w:w="100"/>
              <w:bottom w:type="dxa" w:w="60"/>
              <w:right w:type="dxa" w:w="100"/>
            </w:tcMar>
          </w:tcPr>
          <w:p>
            <w:r>
              <w:rPr>
                <w:b/>
                <w:bCs/>
                <w:color w:val="FFFFFF"/>
                <w:sz w:val="22"/>
                <w:szCs w:val="22"/>
              </w:rPr>
              <w:t xml:space="preserve">TEST Mode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2"/>
                <w:szCs w:val="22"/>
              </w:rPr>
              <w:t xml:space="preserve">Documents</w:t>
            </w:r>
          </w:p>
        </w:tc>
        <w:tc>
          <w:tcPr>
            <w:tcW w:type="dxa" w:w="3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2"/>
                <w:szCs w:val="22"/>
              </w:rPr>
              <w:t xml:space="preserve">Created in production folder</w:t>
            </w:r>
          </w:p>
        </w:tc>
        <w:tc>
          <w:tcPr>
            <w:tcW w:type="dxa" w:w="3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2"/>
                <w:szCs w:val="22"/>
              </w:rPr>
              <w:t xml:space="preserve">Created in same folder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2"/>
                <w:szCs w:val="22"/>
              </w:rPr>
              <w:t xml:space="preserve">Slack</w:t>
            </w:r>
          </w:p>
        </w:tc>
        <w:tc>
          <w:tcPr>
            <w:tcW w:type="dxa" w:w="3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2"/>
                <w:szCs w:val="22"/>
              </w:rPr>
              <w:t xml:space="preserve">Sent to team channels</w:t>
            </w:r>
          </w:p>
        </w:tc>
        <w:tc>
          <w:tcPr>
            <w:tcW w:type="dxa" w:w="3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2"/>
                <w:szCs w:val="22"/>
              </w:rPr>
              <w:t xml:space="preserve">All messages to test channel only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2"/>
                <w:szCs w:val="22"/>
              </w:rPr>
              <w:t xml:space="preserve">Use</w:t>
            </w:r>
          </w:p>
        </w:tc>
        <w:tc>
          <w:tcPr>
            <w:tcW w:type="dxa" w:w="3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2"/>
                <w:szCs w:val="22"/>
              </w:rPr>
              <w:t xml:space="preserve">Production</w:t>
            </w:r>
          </w:p>
        </w:tc>
        <w:tc>
          <w:tcPr>
            <w:tcW w:type="dxa" w:w="3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2"/>
                <w:szCs w:val="22"/>
              </w:rPr>
              <w:t xml:space="preserve">Verification, training, debugging</w:t>
            </w:r>
          </w:p>
        </w:tc>
      </w:tr>
    </w:tbl>
    <w:p>
      <w:pPr>
        <w:spacing w:after="200"/>
      </w:pPr>
    </w:p>
    <w:p>
      <w:pPr>
        <w:pStyle w:val="Heading2"/>
      </w:pPr>
      <w:r>
        <w:t xml:space="preserve">Troubleshooting</w:t>
      </w:r>
    </w:p>
    <w:p>
      <w:pPr>
        <w:pStyle w:val="Heading3"/>
      </w:pPr>
      <w:r>
        <w:t xml:space="preserve">Export Stuck in "Processing"</w:t>
      </w:r>
    </w:p>
    <w:p>
      <w:r>
        <w:rPr>
          <w:b/>
          <w:bCs/>
        </w:rPr>
        <w:t xml:space="preserve">Symptoms: </w:t>
      </w:r>
      <w:r>
        <w:t xml:space="preserve">Prep Run Request shows "Processing" for more than 5 minutes.</w:t>
      </w:r>
    </w:p>
    <w:p>
      <w:r>
        <w:rPr>
          <w:b/>
          <w:bCs/>
        </w:rPr>
        <w:t xml:space="preserve">Check: </w:t>
      </w:r>
      <w:r>
        <w:t xml:space="preserve">Audit Log for errors, Google Apps Script execution log, webhook URL is correct.</w:t>
      </w:r>
    </w:p>
    <w:p>
      <w:pPr>
        <w:spacing w:after="160"/>
      </w:pPr>
      <w:r>
        <w:rPr>
          <w:b/>
          <w:bCs/>
        </w:rPr>
        <w:t xml:space="preserve">Fix: </w:t>
      </w:r>
      <w:r>
        <w:t xml:space="preserve">If error found, fix and re-trigger export. You can set status back to "Pending" to retry.</w:t>
      </w:r>
    </w:p>
    <w:p>
      <w:pPr>
        <w:pStyle w:val="Heading3"/>
      </w:pPr>
      <w:r>
        <w:t xml:space="preserve">Missing Items in Prep Tasks</w:t>
      </w:r>
    </w:p>
    <w:p>
      <w:r>
        <w:rPr>
          <w:b/>
          <w:bCs/>
        </w:rPr>
        <w:t xml:space="preserve">Symptoms: </w:t>
      </w:r>
      <w:r>
        <w:t xml:space="preserve">Item below par but no prep task created.</w:t>
      </w:r>
    </w:p>
    <w:p>
      <w:pPr>
        <w:spacing w:after="160"/>
      </w:pPr>
      <w:r>
        <w:rPr>
          <w:b/>
          <w:bCs/>
        </w:rPr>
        <w:t xml:space="preserve">Check: </w:t>
      </w:r>
      <w:r>
        <w:t xml:space="preserve">Is item Active? Does item have a Par Level? Was item included in stocktake (Weekly Counts)? Does item have a Recipe with Yield Qty?</w:t>
      </w:r>
    </w:p>
    <w:p>
      <w:pPr>
        <w:pStyle w:val="Heading3"/>
      </w:pPr>
      <w:r>
        <w:t xml:space="preserve">Wrong Quantities</w:t>
      </w:r>
    </w:p>
    <w:p>
      <w:r>
        <w:rPr>
          <w:b/>
          <w:bCs/>
        </w:rPr>
        <w:t xml:space="preserve">Symptoms: </w:t>
      </w:r>
      <w:r>
        <w:t xml:space="preserve">Numbers don’t match expectations.</w:t>
      </w:r>
    </w:p>
    <w:p>
      <w:pPr>
        <w:spacing w:after="160"/>
      </w:pPr>
      <w:r>
        <w:rPr>
          <w:b/>
          <w:bCs/>
        </w:rPr>
        <w:t xml:space="preserve">Check: </w:t>
      </w:r>
      <w:r>
        <w:t xml:space="preserve">Par Level correct? Stock count correct? Recipe yield correct? Recipe lines (ingredients) correct?</w:t>
      </w:r>
    </w:p>
    <w:p>
      <w:pPr>
        <w:pStyle w:val="Heading3"/>
      </w:pPr>
      <w:r>
        <w:t xml:space="preserve">No Slack Notifications</w:t>
      </w:r>
    </w:p>
    <w:p>
      <w:r>
        <w:rPr>
          <w:b/>
          <w:bCs/>
        </w:rPr>
        <w:t xml:space="preserve">Symptoms: </w:t>
      </w:r>
      <w:r>
        <w:t xml:space="preserve">Export completed but no Slack message.</w:t>
      </w:r>
    </w:p>
    <w:p>
      <w:pPr>
        <w:spacing w:after="200"/>
      </w:pPr>
      <w:r>
        <w:rPr>
          <w:b/>
          <w:bCs/>
        </w:rPr>
        <w:t xml:space="preserve">Check: </w:t>
      </w:r>
      <w:r>
        <w:t xml:space="preserve">Export mode (TEST only sends to test channel), "Notify Slack" checkbox enabled, webhook URLs configured in Script Properties.</w:t>
      </w:r>
    </w:p>
    <w:p>
      <w:pPr>
        <w:pStyle w:val="Heading2"/>
      </w:pPr>
      <w:r>
        <w:t xml:space="preserve">Audit Log</w:t>
      </w:r>
    </w:p>
    <w:p>
      <w:pPr>
        <w:spacing w:after="80"/>
      </w:pPr>
      <w:r>
        <w:t xml:space="preserve">Every automation logs to the Audit Log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W w:type="dxa" w:w="4000"/>
            <w:tcBorders>
              <w:top w:val="single" w:color="CCCCCC" w:sz="1"/>
              <w:left w:val="single" w:color="CCCCCC" w:sz="1"/>
              <w:bottom w:val="single" w:color="CCCCCC" w:sz="1"/>
              <w:right w:val="single" w:color="CCCCCC" w:sz="1"/>
            </w:tcBorders>
            <w:shd w:fill="2E5A88" w:val="clear"/>
            <w:tcMar>
              <w:top w:type="dxa" w:w="60"/>
              <w:left w:type="dxa" w:w="100"/>
              <w:bottom w:type="dxa" w:w="60"/>
              <w:right w:type="dxa" w:w="100"/>
            </w:tcMar>
          </w:tcPr>
          <w:p>
            <w:r>
              <w:rPr>
                <w:b/>
                <w:bCs/>
                <w:color w:val="FFFFFF"/>
                <w:sz w:val="22"/>
                <w:szCs w:val="22"/>
              </w:rPr>
              <w:t xml:space="preserve">Field</w:t>
            </w:r>
          </w:p>
        </w:tc>
        <w:tc>
          <w:tcPr>
            <w:tcW w:type="dxa" w:w="5000"/>
            <w:tcBorders>
              <w:top w:val="single" w:color="CCCCCC" w:sz="1"/>
              <w:left w:val="single" w:color="CCCCCC" w:sz="1"/>
              <w:bottom w:val="single" w:color="CCCCCC" w:sz="1"/>
              <w:right w:val="single" w:color="CCCCCC" w:sz="1"/>
            </w:tcBorders>
            <w:shd w:fill="2E5A88" w:val="clear"/>
            <w:tcMar>
              <w:top w:type="dxa" w:w="60"/>
              <w:left w:type="dxa" w:w="100"/>
              <w:bottom w:type="dxa" w:w="60"/>
              <w:right w:type="dxa" w:w="100"/>
            </w:tcMar>
          </w:tcPr>
          <w:p>
            <w:r>
              <w:rPr>
                <w:b/>
                <w:bCs/>
                <w:color w:val="FFFFFF"/>
                <w:sz w:val="22"/>
                <w:szCs w:val="22"/>
              </w:rPr>
              <w:t xml:space="preserve">Content</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2"/>
                <w:szCs w:val="22"/>
              </w:rPr>
              <w:t xml:space="preserve">Timestamp</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2"/>
                <w:szCs w:val="22"/>
              </w:rPr>
              <w:t xml:space="preserve">When it ran</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2"/>
                <w:szCs w:val="22"/>
              </w:rPr>
              <w:t xml:space="preserve">Script Name</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2"/>
                <w:szCs w:val="22"/>
              </w:rPr>
              <w:t xml:space="preserve">Which automation</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2"/>
                <w:szCs w:val="22"/>
              </w:rPr>
              <w:t xml:space="preserve">Status</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2"/>
                <w:szCs w:val="22"/>
              </w:rPr>
              <w:t xml:space="preserve">Success, Warning, Error</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2"/>
                <w:szCs w:val="22"/>
              </w:rPr>
              <w:t xml:space="preserve">Message</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2"/>
                <w:szCs w:val="22"/>
              </w:rPr>
              <w:t xml:space="preserve">Summary</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2"/>
                <w:szCs w:val="22"/>
              </w:rPr>
              <w:t xml:space="preserve">Details</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2"/>
                <w:szCs w:val="22"/>
              </w:rPr>
              <w:t xml:space="preserve">Full execution log</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2"/>
                <w:szCs w:val="22"/>
              </w:rPr>
              <w:t xml:space="preserve">Execution Time</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2"/>
                <w:szCs w:val="22"/>
              </w:rPr>
              <w:t xml:space="preserve">How long it took</w:t>
            </w:r>
          </w:p>
        </w:tc>
      </w:tr>
    </w:tbl>
    <w:p>
      <w:pPr>
        <w:spacing w:after="200"/>
      </w:pPr>
      <w:r>
        <w:rPr>
          <w:b/>
          <w:bCs/>
        </w:rPr>
        <w:t xml:space="preserve">Use for: </w:t>
      </w:r>
      <w:r>
        <w:t xml:space="preserve">Confirming automations ran, finding error details, performance monitoring.</w:t>
      </w:r>
    </w:p>
    <w:p>
      <w:pPr>
        <w:pStyle w:val="Heading2"/>
      </w:pPr>
      <w:r>
        <w:t xml:space="preserve">Recipe Scaler</w:t>
      </w:r>
    </w:p>
    <w:p>
      <w:pPr>
        <w:spacing w:after="80"/>
      </w:pPr>
      <w:r>
        <w:t xml:space="preserve">The Recipe Scaler is a web app for calculating scaled recipes based on available ingredients.</w:t>
      </w:r>
    </w:p>
    <w:p>
      <w:pPr>
        <w:shd w:fill="F5F5F5" w:val="clear"/>
        <w:spacing w:after="80"/>
      </w:pPr>
      <w:r>
        <w:rPr>
          <w:b/>
          <w:bCs/>
        </w:rPr>
        <w:t xml:space="preserve">Use case: </w:t>
      </w:r>
      <w:r>
        <w:t xml:space="preserve">You have 500ml of lime juice but the recipe calls for 200ml per batch. How many batches can you make and what are all the scaled quantities?</w:t>
      </w:r>
    </w:p>
    <w:p>
      <w:r>
        <w:rPr>
          <w:b/>
          <w:bCs/>
        </w:rPr>
        <w:t xml:space="preserve">Access: </w:t>
      </w:r>
      <w:r>
        <w:t xml:space="preserve">Click "Scale this recipe" link in any Batching List document, or access directly via the deployed web app URL with ?page=scaler</w:t>
      </w:r>
    </w:p>
    <w:p>
      <w:pPr>
        <w:spacing w:after="200"/>
      </w:pPr>
      <w:r>
        <w:rPr>
          <w:b/>
          <w:bCs/>
        </w:rPr>
        <w:t xml:space="preserve">How it works: </w:t>
      </w:r>
      <w:r>
        <w:t xml:space="preserve">Select a recipe, choose a constraining ingredient, enter how much of that ingredient you have, and get scaled quantities for all ingredients.</w:t>
      </w:r>
    </w:p>
    <w:p>
      <w:pPr>
        <w:pStyle w:val="Heading2"/>
      </w:pPr>
      <w:r>
        <w:t xml:space="preserve">Feedback System</w:t>
      </w:r>
    </w:p>
    <w:p>
      <w:pPr>
        <w:spacing w:after="80"/>
      </w:pPr>
      <w:r>
        <w:t xml:space="preserve">Staff can submit feedback directly from generated documents using the "Have feedback? Submit here" link.</w:t>
      </w:r>
    </w:p>
    <w:p>
      <w:pPr>
        <w:pStyle w:val="Heading3"/>
      </w:pPr>
      <w:r>
        <w:t xml:space="preserve">Feedback Types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CCCCCC" w:sz="1"/>
              <w:left w:val="single" w:color="CCCCCC" w:sz="1"/>
              <w:bottom w:val="single" w:color="CCCCCC" w:sz="1"/>
              <w:right w:val="single" w:color="CCCCCC" w:sz="1"/>
            </w:tcBorders>
            <w:shd w:fill="2E5A88" w:val="clear"/>
            <w:tcMar>
              <w:top w:type="dxa" w:w="60"/>
              <w:left w:type="dxa" w:w="100"/>
              <w:bottom w:type="dxa" w:w="60"/>
              <w:right w:type="dxa" w:w="100"/>
            </w:tcMar>
          </w:tcPr>
          <w:p>
            <w:r>
              <w:rPr>
                <w:b/>
                <w:bCs/>
                <w:color w:val="FFFFFF"/>
                <w:sz w:val="22"/>
                <w:szCs w:val="22"/>
              </w:rPr>
              <w:t xml:space="preserve">Type</w:t>
            </w:r>
          </w:p>
        </w:tc>
        <w:tc>
          <w:tcPr>
            <w:tcW w:type="dxa" w:w="6000"/>
            <w:tcBorders>
              <w:top w:val="single" w:color="CCCCCC" w:sz="1"/>
              <w:left w:val="single" w:color="CCCCCC" w:sz="1"/>
              <w:bottom w:val="single" w:color="CCCCCC" w:sz="1"/>
              <w:right w:val="single" w:color="CCCCCC" w:sz="1"/>
            </w:tcBorders>
            <w:shd w:fill="2E5A88" w:val="clear"/>
            <w:tcMar>
              <w:top w:type="dxa" w:w="60"/>
              <w:left w:type="dxa" w:w="100"/>
              <w:bottom w:type="dxa" w:w="60"/>
              <w:right w:type="dxa" w:w="100"/>
            </w:tcMar>
          </w:tcPr>
          <w:p>
            <w:r>
              <w:rPr>
                <w:b/>
                <w:bCs/>
                <w:color w:val="FFFFFF"/>
                <w:sz w:val="22"/>
                <w:szCs w:val="22"/>
              </w:rPr>
              <w:t xml:space="preserve">Use For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2"/>
                <w:szCs w:val="22"/>
              </w:rPr>
              <w:t xml:space="preserve">Missing Data</w:t>
            </w:r>
          </w:p>
        </w:tc>
        <w:tc>
          <w:tcPr>
            <w:tcW w:type="dxa" w:w="6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2"/>
                <w:szCs w:val="22"/>
              </w:rPr>
              <w:t xml:space="preserve">Items or ingredients missing from lists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2"/>
                <w:szCs w:val="22"/>
              </w:rPr>
              <w:t xml:space="preserve">Recipe Issue</w:t>
            </w:r>
          </w:p>
        </w:tc>
        <w:tc>
          <w:tcPr>
            <w:tcW w:type="dxa" w:w="6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2"/>
                <w:szCs w:val="22"/>
              </w:rPr>
              <w:t xml:space="preserve">Wrong quantities, missing steps, unclear instructions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2"/>
                <w:szCs w:val="22"/>
              </w:rPr>
              <w:t xml:space="preserve">Suggestion</w:t>
            </w:r>
          </w:p>
        </w:tc>
        <w:tc>
          <w:tcPr>
            <w:tcW w:type="dxa" w:w="6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2"/>
                <w:szCs w:val="22"/>
              </w:rPr>
              <w:t xml:space="preserve">Ideas for improvement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2"/>
                <w:szCs w:val="22"/>
              </w:rPr>
              <w:t xml:space="preserve">Other</w:t>
            </w:r>
          </w:p>
        </w:tc>
        <w:tc>
          <w:tcPr>
            <w:tcW w:type="dxa" w:w="6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2"/>
                <w:szCs w:val="22"/>
              </w:rPr>
              <w:t xml:space="preserve">Anything else</w:t>
            </w:r>
          </w:p>
        </w:tc>
      </w:tr>
    </w:tbl>
    <w:p>
      <w:pPr>
        <w:spacing w:after="80"/>
      </w:pPr>
      <w:r>
        <w:rPr>
          <w:b/>
          <w:bCs/>
        </w:rPr>
        <w:t xml:space="preserve">How feedback works: </w:t>
      </w:r>
      <w:r>
        <w:t xml:space="preserve">Staff click feedback link in document, form pre-fills with document context, staff describe the issue, system auto-categorises feedback using AI triage, notification sent to admin Slack channel, record created in Feedback table.</w:t>
      </w:r>
    </w:p>
    <w:p>
      <w:pPr>
        <w:spacing w:after="200"/>
      </w:pPr>
      <w:r>
        <w:rPr>
          <w:b/>
          <w:bCs/>
        </w:rPr>
        <w:t xml:space="preserve">Managing feedback: </w:t>
      </w:r>
      <w:r>
        <w:t xml:space="preserve">View submitted feedback in the Feedback table in Airtable. Status options: New, In Review, Actioned, Resolved.</w:t>
      </w:r>
    </w:p>
    <w:p>
      <w:pPr>
        <w:pStyle w:val="Heading2"/>
      </w:pPr>
      <w:r>
        <w:t xml:space="preserve">Quick Reference: Weekly Schedule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400"/>
      </w:tblGrid>
      <w:tr>
        <w:tc>
          <w:tcPr>
            <w:tcW w:type="dxa" w:w="2400"/>
            <w:tcBorders>
              <w:top w:val="single" w:color="CCCCCC" w:sz="1"/>
              <w:left w:val="single" w:color="CCCCCC" w:sz="1"/>
              <w:bottom w:val="single" w:color="CCCCCC" w:sz="1"/>
              <w:right w:val="single" w:color="CCCCCC" w:sz="1"/>
            </w:tcBorders>
            <w:shd w:fill="2E5A88" w:val="clear"/>
            <w:tcMar>
              <w:top w:type="dxa" w:w="60"/>
              <w:left w:type="dxa" w:w="100"/>
              <w:bottom w:type="dxa" w:w="60"/>
              <w:right w:type="dxa" w:w="100"/>
            </w:tcMar>
          </w:tcPr>
          <w:p>
            <w:r>
              <w:rPr>
                <w:b/>
                <w:bCs/>
                <w:color w:val="FFFFFF"/>
                <w:sz w:val="22"/>
                <w:szCs w:val="22"/>
              </w:rPr>
              <w:t xml:space="preserve">Day</w:t>
            </w:r>
          </w:p>
        </w:tc>
        <w:tc>
          <w:tcPr>
            <w:tcW w:type="dxa" w:w="4200"/>
            <w:tcBorders>
              <w:top w:val="single" w:color="CCCCCC" w:sz="1"/>
              <w:left w:val="single" w:color="CCCCCC" w:sz="1"/>
              <w:bottom w:val="single" w:color="CCCCCC" w:sz="1"/>
              <w:right w:val="single" w:color="CCCCCC" w:sz="1"/>
            </w:tcBorders>
            <w:shd w:fill="2E5A88" w:val="clear"/>
            <w:tcMar>
              <w:top w:type="dxa" w:w="60"/>
              <w:left w:type="dxa" w:w="100"/>
              <w:bottom w:type="dxa" w:w="60"/>
              <w:right w:type="dxa" w:w="100"/>
            </w:tcMar>
          </w:tcPr>
          <w:p>
            <w:r>
              <w:rPr>
                <w:b/>
                <w:bCs/>
                <w:color w:val="FFFFFF"/>
                <w:sz w:val="22"/>
                <w:szCs w:val="22"/>
              </w:rPr>
              <w:t xml:space="preserve">Action</w:t>
            </w:r>
          </w:p>
        </w:tc>
        <w:tc>
          <w:tcPr>
            <w:tcW w:type="dxa" w:w="2400"/>
            <w:tcBorders>
              <w:top w:val="single" w:color="CCCCCC" w:sz="1"/>
              <w:left w:val="single" w:color="CCCCCC" w:sz="1"/>
              <w:bottom w:val="single" w:color="CCCCCC" w:sz="1"/>
              <w:right w:val="single" w:color="CCCCCC" w:sz="1"/>
            </w:tcBorders>
            <w:shd w:fill="2E5A88" w:val="clear"/>
            <w:tcMar>
              <w:top w:type="dxa" w:w="60"/>
              <w:left w:type="dxa" w:w="100"/>
              <w:bottom w:type="dxa" w:w="60"/>
              <w:right w:type="dxa" w:w="100"/>
            </w:tcMar>
          </w:tcPr>
          <w:p>
            <w:r>
              <w:rPr>
                <w:b/>
                <w:bCs/>
                <w:color w:val="FFFFFF"/>
                <w:sz w:val="22"/>
                <w:szCs w:val="22"/>
              </w:rPr>
              <w:t xml:space="preserve">Who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2"/>
                <w:szCs w:val="22"/>
              </w:rPr>
              <w:t xml:space="preserve">Saturday AM</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2"/>
                <w:szCs w:val="22"/>
              </w:rPr>
              <w:t xml:space="preserve">Run Clear Weekly Count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2"/>
                <w:szCs w:val="22"/>
              </w:rPr>
              <w:t xml:space="preserve">Manager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2"/>
                <w:szCs w:val="22"/>
              </w:rPr>
              <w:t xml:space="preserve">Sat–Sun</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2"/>
                <w:szCs w:val="22"/>
              </w:rPr>
              <w:t xml:space="preserve">Enter stock counts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2"/>
                <w:szCs w:val="22"/>
              </w:rPr>
              <w:t xml:space="preserve">Staff</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2"/>
                <w:szCs w:val="22"/>
              </w:rPr>
              <w:t xml:space="preserve">Monday AM</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2"/>
                <w:szCs w:val="22"/>
              </w:rPr>
              <w:t xml:space="preserve">Run Finalise Count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2"/>
                <w:szCs w:val="22"/>
              </w:rPr>
              <w:t xml:space="preserve">Manager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2"/>
                <w:szCs w:val="22"/>
              </w:rPr>
              <w:t xml:space="preserve">Monday PM</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2"/>
                <w:szCs w:val="22"/>
              </w:rPr>
              <w:t xml:space="preserve">Run Generate Prep Run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2"/>
                <w:szCs w:val="22"/>
              </w:rPr>
              <w:t xml:space="preserve">Manager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2"/>
                <w:szCs w:val="22"/>
              </w:rPr>
              <w:t xml:space="preserve">Monday PM</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2"/>
                <w:szCs w:val="22"/>
              </w:rPr>
              <w:t xml:space="preserve">Click Export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2"/>
                <w:szCs w:val="22"/>
              </w:rPr>
              <w:t xml:space="preserve">Manager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2"/>
                <w:szCs w:val="22"/>
              </w:rPr>
              <w:t xml:space="preserve">Tue–Fri</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2"/>
                <w:szCs w:val="22"/>
              </w:rPr>
              <w:t xml:space="preserve">Execute prep tasks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2"/>
                <w:szCs w:val="22"/>
              </w:rPr>
              <w:t xml:space="preserve">Team</w:t>
            </w:r>
          </w:p>
        </w:tc>
      </w:tr>
    </w:tbl>
    <w:p>
      <w:pPr>
        <w:spacing w:before="400"/>
      </w:pPr>
      <w:r>
        <w:rPr>
          <w:i/>
          <w:iCs/>
          <w:sz w:val="22"/>
          <w:szCs w:val="22"/>
        </w:rPr>
        <w:t xml:space="preserve">For technical details, script internals, and development: see the Deep Dive Guide. For basic daily use: see the Quick Start Guide.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E5A88"/>
      <w:sz w:val="48"/>
      <w:szCs w:val="48"/>
    </w:rPr>
  </w:style>
  <w:style w:type="paragraph" w:styleId="Heading2">
    <w:name w:val="Heading 2"/>
    <w:basedOn w:val="Normal"/>
    <w:next w:val="Normal"/>
    <w:qFormat/>
    <w:pPr>
      <w:spacing w:before="280" w:after="120"/>
      <w:outlineLvl w:val="1"/>
    </w:pPr>
    <w:rPr>
      <w:rFonts w:ascii="Arial" w:cs="Arial" w:eastAsia="Arial" w:hAnsi="Arial"/>
      <w:b/>
      <w:bCs/>
      <w:color w:val="2E5A88"/>
      <w:sz w:val="32"/>
      <w:szCs w:val="32"/>
    </w:rPr>
  </w:style>
  <w:style w:type="paragraph" w:styleId="Heading3">
    <w:name w:val="Heading 3"/>
    <w:basedOn w:val="Normal"/>
    <w:next w:val="Normal"/>
    <w:qFormat/>
    <w:pPr>
      <w:spacing w:before="200" w:after="8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2026-01-31T13:33:08.822Z</dcterms:created>
  <dcterms:modified xsi:type="dcterms:W3CDTF">2026-01-31T13:33:08.822Z</dcterms:modified>
</cp:coreProperties>
</file>

<file path=docProps/custom.xml><?xml version="1.0" encoding="utf-8"?>
<Properties xmlns="http://schemas.openxmlformats.org/officeDocument/2006/custom-properties" xmlns:vt="http://schemas.openxmlformats.org/officeDocument/2006/docPropsVTypes"/>
</file>