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fd94u0jn44kl" w:id="0"/>
      <w:bookmarkEnd w:id="0"/>
      <w:r w:rsidDel="00000000" w:rsidR="00000000" w:rsidRPr="00000000">
        <w:rPr>
          <w:rtl w:val="0"/>
        </w:rPr>
        <w:t xml:space="preserve">Metapixels</w:t>
      </w:r>
    </w:p>
    <w:p w:rsidR="00000000" w:rsidDel="00000000" w:rsidP="00000000" w:rsidRDefault="00000000" w:rsidRPr="00000000">
      <w:pPr>
        <w:contextualSpacing w:val="0"/>
        <w:rPr/>
      </w:pPr>
      <w:r w:rsidDel="00000000" w:rsidR="00000000" w:rsidRPr="00000000">
        <w:rPr>
          <w:rtl w:val="0"/>
        </w:rPr>
        <w:t xml:space="preserve">METAPIXEL Incorporated is a team composed of professional artists with different backgrounds and expertise working together to deliver superior standards of service and to provide the best solution for each client. Their skills range from Advertising, Website Development, Information Technology, Photography, and Design for print, video, and the web. From ideas, into pixels, into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qogz4hrsorl" w:id="1"/>
      <w:bookmarkEnd w:id="1"/>
      <w:r w:rsidDel="00000000" w:rsidR="00000000" w:rsidRPr="00000000">
        <w:rPr>
          <w:rtl w:val="0"/>
        </w:rPr>
        <w:t xml:space="preserve">iAcademy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