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6A34A"/>
          <w:sz w:val="52"/>
          <w:szCs w:val="52"/>
        </w:rPr>
        <w:t xml:space="preserve">CannaSaas</w:t>
      </w:r>
    </w:p>
    <w:p>
      <w:pPr>
        <w:spacing w:after="60"/>
        <w:jc w:val="center"/>
      </w:pPr>
      <w:r>
        <w:rPr>
          <w:rFonts w:ascii="Arial" w:cs="Arial" w:eastAsia="Arial" w:hAnsi="Arial"/>
          <w:color w:val="14532D"/>
          <w:sz w:val="26"/>
          <w:szCs w:val="26"/>
        </w:rPr>
        <w:t xml:space="preserve">The All-in-One Cannabis Dispensary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28 Modules  |  79 Database Tables  |  150+ API Operations  |  4 Frontend Apps  |  10 Themes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E-Commerce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catalog with full-text search &amp; autocomplete  |  Faceted filtering by strain, effects, THC/CBD  |  Shopping cart with variant selection  |  Delivery &amp; pickup with geo-fenced eligibility  |  Cash &amp; card payments with cash discount system  |  Real-time order tracking via WebSocket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Accounts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&amp; JWT authentication  |  Age verification (21+) with ID type tracking  |  Saved addresses with delivery instructions  |  Order history with pagination  |  Loyalty points tracking  |  Medical patient designation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Metrc seed-to-sale integration (NY/NJ/CT)  |  Manifest generation for all transfers  |  Daily automated reconciliation (local vs Metrc)  |  Waste/destruction logging with witness tracking  |  Purchase limit enforcement per state law  |  Full audit trail (who, what, when, JSONB changes)  |  AES-256-CBC credential encryption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 Engine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State-specific multi-line tax calculations  |  NY: retail excise + per-mg THC by product type  |  NJ: sales tax + cannabis excise + municipal  |  CT: sales tax + excise + municipal  |  Statutory references for every tax line  |  Tax report with CSV export for accountants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Inventory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Real-time stock tracking with reorder thresholds  |  Inter-dispensary transfers (request/approve/ship/receive)  |  Physical count with variance reporting &amp; auto-adjust  |  Adjustments with 10 reason codes &amp; approval workflow  |  Expiration tracking, dead stock detection, lot numbers  |  Inventory health dashboard &amp; valuation report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Staffing &amp; HR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 roster with 11 position types  |  Certification tracking with auto-expiry alerts  |  Performance reviews  |  Clock-in/out with overtime calculation (1.5x over 40h)  |  Payroll report with CSV export  |  Exempt employee handling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Shift templates (recurring weekly patterns)  |  Auto-generate schedules from templates  |  Coverage gap detection (min staff vs assigned)  |  Shift swap requests with manager approval  |  Time-off requests (PTO, sick, personal)  |  Publish week with one click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Driver profiles with vehicle &amp; insurance tracking  |  Trip assignment with distance/ETA  |  Real-time driver GPS broadcasting  |  Delivery completion with customer ratings  |  Driver performance stats (avg time, rating, miles)  |  Delivery zones with geo-fencing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 via SendGrid/SMTP + SMS via Twilio  |  18 templates: order lifecycle, welcome, cert expiry  |  Event-driven (order.completed, status_changed)  |  Customer preferences (email/SMS per category)  |  Notification log with status tracking  |  Admin: send test, manual notify, stats dashboard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summary: revenue, orders, avg value, cash vs card  |  Sales by day, product, and hour breakdowns  |  Tax report with statutory references per state  |  Labor cost report with % of revenue  |  Shrinkage report by reason with estimated value  |  Inventory valuation  |  4 CSV export endpoints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 Integration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Dutchie &amp; Treez adapter architecture  |  Product mapping &amp; sync logging  |  Extensible for additional POS providers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Revenue, orders, product mix KPIs  |  8 parallel dashboard queries  |  Period comparisons  |  Top products by volume and revenue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pre-built CSS themes (dark, earth, purple, luxury, neon, etc.)  |  CSS custom properties for instant switching  |  Custom CSS override per tenant  |  Logo &amp; brand name per dispensary  |  HTML never changes — CSS-only theming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production stack (7 services)  |  Nginx reverse proxy with rate limiting  |  WebSocket for real-time updates  |  BullMQ async job queues  |  Daily CRON jobs (reconciliation, cert expiry, alerts)  |  Non-root containers, health checks, security headers</w:t>
            </w:r>
          </w:p>
        </w:tc>
      </w:tr>
    </w:tbl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4532D"/>
          <w:sz w:val="18"/>
          <w:szCs w:val="18"/>
        </w:rPr>
        <w:t xml:space="preserve">Tech Stack: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NestJS  |  GraphQL  |  PostgreSQL  |  React  |  Next.js  |  Zustand  |  TanStack Query  |  Tailwind CSS  |  Docker  |  nginx  |  Redis  |  BullMQ  |  Socket.IO</w:t>
      </w:r>
    </w:p>
    <w:p>
      <w:pPr>
        <w:spacing w:before="100"/>
        <w:jc w:val="center"/>
      </w:pPr>
      <w:r>
        <w:rPr>
          <w:rFonts w:ascii="Arial" w:cs="Arial" w:eastAsia="Arial" w:hAnsi="Arial"/>
          <w:color w:val="14532D"/>
          <w:sz w:val="18"/>
          <w:szCs w:val="18"/>
        </w:rPr>
        <w:t xml:space="preserve">Target Markets: New York  |  New Jersey  |  Connecticut    •    Pricing: $299–$799/month per location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4532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A3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2026-03-13T17:14:45.186Z</dcterms:created>
  <dcterms:modified xsi:type="dcterms:W3CDTF">2026-03-13T17:14:45.186Z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