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6A34A"/>
          <w:sz w:val="72"/>
          <w:szCs w:val="72"/>
        </w:rPr>
        <w:t xml:space="preserve">CannaSaas</w:t>
      </w:r>
    </w:p>
    <w:p>
      <w:pPr>
        <w:spacing w:after="200"/>
        <w:jc w:val="center"/>
      </w:pPr>
      <w:r>
        <w:rPr>
          <w:rFonts w:ascii="Arial" w:cs="Arial" w:eastAsia="Arial" w:hAnsi="Arial"/>
          <w:b/>
          <w:bCs/>
          <w:color w:val="14532D"/>
          <w:sz w:val="40"/>
          <w:szCs w:val="40"/>
        </w:rPr>
        <w:t xml:space="preserve">Business Plan</w:t>
      </w:r>
    </w:p>
    <w:p>
      <w:pPr>
        <w:spacing w:after="100"/>
        <w:jc w:val="center"/>
      </w:pPr>
      <w:r>
        <w:rPr>
          <w:rFonts w:ascii="Arial" w:cs="Arial" w:eastAsia="Arial" w:hAnsi="Arial"/>
          <w:color w:val="6B7280"/>
          <w:sz w:val="24"/>
          <w:szCs w:val="24"/>
        </w:rPr>
        <w:t xml:space="preserve">Multi-Tenant Cannabis Dispensary SaaS Platform</w:t>
      </w:r>
    </w:p>
    <w:p>
      <w:pPr>
        <w:spacing w:after="2000"/>
        <w:jc w:val="center"/>
      </w:pPr>
      <w:r>
        <w:rPr>
          <w:rFonts w:ascii="Arial" w:cs="Arial" w:eastAsia="Arial" w:hAnsi="Arial"/>
          <w:color w:val="6B7280"/>
          <w:sz w:val="20"/>
          <w:szCs w:val="20"/>
        </w:rPr>
        <w:t xml:space="preserve">March 2026  |  Version 1.0  |  Confidential</w:t>
      </w:r>
    </w:p>
    <w:p>
      <w:r>
        <w:br w:type="page"/>
      </w:r>
    </w:p>
    <w:p>
      <w:pPr>
        <w:pStyle w:val="Heading1"/>
      </w:pPr>
      <w:r>
        <w:t xml:space="preserve">1. Company Description</w:t>
      </w:r>
    </w:p>
    <w:p>
      <w:pPr>
        <w:spacing w:after="120"/>
      </w:pPr>
      <w:r>
        <w:t xml:space="preserve">CannaSaas is a technology company developing a comprehensive software-as-a-service platform for licensed cannabis dispensaries. The company is founded by a senior software architect with 25+ years of enterprise development experience, specializing in multi-tenant SaaS platforms, full-stack development, and regulatory compliance systems.</w:t>
      </w:r>
    </w:p>
    <w:p>
      <w:pPr>
        <w:spacing w:after="120"/>
      </w:pPr>
      <w:r>
        <w:t xml:space="preserve">The platform addresses the unique operational needs of cannabis retail by combining e-commerce, point-of-sale integration, inventory management, seed-to-sale compliance tracking, staffing operations, and delivery logistics into a single, affordable solution.</w:t>
      </w:r>
    </w:p>
    <w:p>
      <w:pPr>
        <w:pStyle w:val="Heading2"/>
      </w:pPr>
      <w:r>
        <w:t xml:space="preserve">Mission</w:t>
      </w:r>
    </w:p>
    <w:p>
      <w:pPr>
        <w:spacing w:after="120"/>
      </w:pPr>
      <w:r>
        <w:t xml:space="preserve">To empower small and mid-size cannabis dispensary operators with enterprise-grade technology at an accessible price point, enabling them to compete effectively while maintaining full regulatory compliance.</w:t>
      </w:r>
    </w:p>
    <w:p>
      <w:pPr>
        <w:pStyle w:val="Heading2"/>
      </w:pPr>
      <w:r>
        <w:t xml:space="preserve">Legal Structure</w:t>
      </w:r>
    </w:p>
    <w:p>
      <w:pPr>
        <w:spacing w:after="120"/>
      </w:pPr>
      <w:r>
        <w:t xml:space="preserve">CannaSaas will be incorporated as a Delaware C-Corporation with operations based in Rockland County, New York. The company will maintain necessary state business registrations in New York, New Jersey, and Connecticut.</w:t>
      </w:r>
    </w:p>
    <w:p>
      <w:r>
        <w:br w:type="page"/>
      </w:r>
    </w:p>
    <w:p>
      <w:pPr>
        <w:pStyle w:val="Heading1"/>
      </w:pPr>
      <w:r>
        <w:t xml:space="preserve">2. Market Analysis</w:t>
      </w:r>
    </w:p>
    <w:p>
      <w:pPr>
        <w:pStyle w:val="Heading2"/>
      </w:pPr>
      <w:r>
        <w:t xml:space="preserve">Industry Overview</w:t>
      </w:r>
    </w:p>
    <w:p>
      <w:pPr>
        <w:spacing w:after="120"/>
      </w:pPr>
      <w:r>
        <w:t xml:space="preserve">The U.S. legal cannabis market reached $33.6 billion in 2024 and is projected to exceed $57 billion by 2028. The tri-state region of NY, NJ, and CT represents one of the fastest-growing cannabis markets in the country, driven by recent adult-use legalization and a dense, affluent consumer base of 34 million people.</w:t>
      </w:r>
    </w:p>
    <w:p>
      <w:pPr>
        <w:pStyle w:val="Heading2"/>
      </w:pPr>
      <w:r>
        <w:t xml:space="preserve">Target Market</w:t>
      </w:r>
    </w:p>
    <w:p>
      <w:pPr>
        <w:spacing w:after="120"/>
      </w:pPr>
      <w:r>
        <w:t xml:space="preserve">CannaSaas targets small to mid-size dispensary operators with 1-5 retail locations. These operators represent approximately 80% of all licensed dispensaries in the tri-state region. The total addressable market (TAM) for cannabis SaaS in the tri-state region is estimated at $45 million annually, based on 1,500+ expected licensees at average SaaS spend of $500-800/month per location.</w:t>
      </w:r>
    </w:p>
    <w:p>
      <w:pPr>
        <w:pStyle w:val="Heading2"/>
      </w:pPr>
      <w:r>
        <w:t xml:space="preserve">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6A34A"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2340"/>
            <w:tcBorders>
              <w:top w:val="single" w:color="D1D5DB" w:sz="1"/>
              <w:left w:val="single" w:color="D1D5DB" w:sz="1"/>
              <w:bottom w:val="single" w:color="D1D5DB" w:sz="1"/>
              <w:right w:val="single" w:color="D1D5DB" w:sz="1"/>
            </w:tcBorders>
            <w:shd w:fill="16A34A" w:val="clear"/>
            <w:tcMar>
              <w:top w:type="dxa" w:w="60"/>
              <w:left w:type="dxa" w:w="100"/>
              <w:bottom w:type="dxa" w:w="60"/>
              <w:right w:type="dxa" w:w="100"/>
            </w:tcMar>
          </w:tcPr>
          <w:p>
            <w:r>
              <w:rPr>
                <w:rFonts w:ascii="Arial" w:cs="Arial" w:eastAsia="Arial" w:hAnsi="Arial"/>
                <w:b/>
                <w:bCs/>
                <w:color w:val="FFFFFF"/>
                <w:sz w:val="20"/>
                <w:szCs w:val="20"/>
              </w:rPr>
              <w:t xml:space="preserve">CannaSaas</w:t>
            </w:r>
          </w:p>
        </w:tc>
        <w:tc>
          <w:tcPr>
            <w:tcW w:type="dxa" w:w="2340"/>
            <w:tcBorders>
              <w:top w:val="single" w:color="D1D5DB" w:sz="1"/>
              <w:left w:val="single" w:color="D1D5DB" w:sz="1"/>
              <w:bottom w:val="single" w:color="D1D5DB" w:sz="1"/>
              <w:right w:val="single" w:color="D1D5DB" w:sz="1"/>
            </w:tcBorders>
            <w:shd w:fill="16A34A" w:val="clear"/>
            <w:tcMar>
              <w:top w:type="dxa" w:w="60"/>
              <w:left w:type="dxa" w:w="100"/>
              <w:bottom w:type="dxa" w:w="60"/>
              <w:right w:type="dxa" w:w="100"/>
            </w:tcMar>
          </w:tcPr>
          <w:p>
            <w:r>
              <w:rPr>
                <w:rFonts w:ascii="Arial" w:cs="Arial" w:eastAsia="Arial" w:hAnsi="Arial"/>
                <w:b/>
                <w:bCs/>
                <w:color w:val="FFFFFF"/>
                <w:sz w:val="20"/>
                <w:szCs w:val="20"/>
              </w:rPr>
              <w:t xml:space="preserve">Dutchie</w:t>
            </w:r>
          </w:p>
        </w:tc>
        <w:tc>
          <w:tcPr>
            <w:tcW w:type="dxa" w:w="2340"/>
            <w:tcBorders>
              <w:top w:val="single" w:color="D1D5DB" w:sz="1"/>
              <w:left w:val="single" w:color="D1D5DB" w:sz="1"/>
              <w:bottom w:val="single" w:color="D1D5DB" w:sz="1"/>
              <w:right w:val="single" w:color="D1D5DB" w:sz="1"/>
            </w:tcBorders>
            <w:shd w:fill="16A34A" w:val="clear"/>
            <w:tcMar>
              <w:top w:type="dxa" w:w="60"/>
              <w:left w:type="dxa" w:w="100"/>
              <w:bottom w:type="dxa" w:w="60"/>
              <w:right w:type="dxa" w:w="100"/>
            </w:tcMar>
          </w:tcPr>
          <w:p>
            <w:r>
              <w:rPr>
                <w:rFonts w:ascii="Arial" w:cs="Arial" w:eastAsia="Arial" w:hAnsi="Arial"/>
                <w:b/>
                <w:bCs/>
                <w:color w:val="FFFFFF"/>
                <w:sz w:val="20"/>
                <w:szCs w:val="20"/>
              </w:rPr>
              <w:t xml:space="preserve">Jane Technologies</w:t>
            </w:r>
          </w:p>
        </w:tc>
      </w:tr>
      <w:tr>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F2937"/>
                <w:sz w:val="20"/>
                <w:szCs w:val="20"/>
              </w:rPr>
              <w:t xml:space="preserve">Monthly Price</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6A34A"/>
                <w:sz w:val="20"/>
                <w:szCs w:val="20"/>
              </w:rPr>
              <w:t xml:space="preserve">$299-799</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20"/>
                <w:szCs w:val="20"/>
              </w:rPr>
              <w:t xml:space="preserve">$1,500+</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20"/>
                <w:szCs w:val="20"/>
              </w:rPr>
              <w:t xml:space="preserve">$1,200+</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1F2937"/>
                <w:sz w:val="20"/>
                <w:szCs w:val="20"/>
              </w:rPr>
              <w:t xml:space="preserve">All-in-One Platform</w:t>
            </w:r>
          </w:p>
        </w:tc>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6A34A"/>
                <w:sz w:val="20"/>
                <w:szCs w:val="20"/>
              </w:rPr>
              <w:t xml:space="preserve">Yes</w:t>
            </w:r>
          </w:p>
        </w:tc>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Partial</w:t>
            </w:r>
          </w:p>
        </w:tc>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E-commerce only</w:t>
            </w:r>
          </w:p>
        </w:tc>
      </w:tr>
      <w:tr>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F2937"/>
                <w:sz w:val="20"/>
                <w:szCs w:val="20"/>
              </w:rPr>
              <w:t xml:space="preserve">Metrc Integration</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6A34A"/>
                <w:sz w:val="20"/>
                <w:szCs w:val="20"/>
              </w:rPr>
              <w:t xml:space="preserve">Built-in</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20"/>
                <w:szCs w:val="20"/>
              </w:rPr>
              <w:t xml:space="preserve">Add-on</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20"/>
                <w:szCs w:val="20"/>
              </w:rPr>
              <w:t xml:space="preserve">No</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1F2937"/>
                <w:sz w:val="20"/>
                <w:szCs w:val="20"/>
              </w:rPr>
              <w:t xml:space="preserve">White-Label Theming</w:t>
            </w:r>
          </w:p>
        </w:tc>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6A34A"/>
                <w:sz w:val="20"/>
                <w:szCs w:val="20"/>
              </w:rPr>
              <w:t xml:space="preserve">10 themes + custom</w:t>
            </w:r>
          </w:p>
        </w:tc>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Limited</w:t>
            </w:r>
          </w:p>
        </w:tc>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Basic</w:t>
            </w:r>
          </w:p>
        </w:tc>
      </w:tr>
      <w:tr>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F2937"/>
                <w:sz w:val="20"/>
                <w:szCs w:val="20"/>
              </w:rPr>
              <w:t xml:space="preserve">Staffing/Payroll</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6A34A"/>
                <w:sz w:val="20"/>
                <w:szCs w:val="20"/>
              </w:rPr>
              <w:t xml:space="preserve">Built-in</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20"/>
                <w:szCs w:val="20"/>
              </w:rPr>
              <w:t xml:space="preserve">No</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20"/>
                <w:szCs w:val="20"/>
              </w:rPr>
              <w:t xml:space="preserve">No</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1F2937"/>
                <w:sz w:val="20"/>
                <w:szCs w:val="20"/>
              </w:rPr>
              <w:t xml:space="preserve">Delivery Management</w:t>
            </w:r>
          </w:p>
        </w:tc>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6A34A"/>
                <w:sz w:val="20"/>
                <w:szCs w:val="20"/>
              </w:rPr>
              <w:t xml:space="preserve">Built-in</w:t>
            </w:r>
          </w:p>
        </w:tc>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Third-party</w:t>
            </w:r>
          </w:p>
        </w:tc>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No</w:t>
            </w:r>
          </w:p>
        </w:tc>
      </w:tr>
      <w:tr>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F2937"/>
                <w:sz w:val="20"/>
                <w:szCs w:val="20"/>
              </w:rPr>
              <w:t xml:space="preserve">State Tax Engine</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6A34A"/>
                <w:sz w:val="20"/>
                <w:szCs w:val="20"/>
              </w:rPr>
              <w:t xml:space="preserve">NY/NJ/CT built-in</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20"/>
                <w:szCs w:val="20"/>
              </w:rPr>
              <w:t xml:space="preserve">Generic</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20"/>
                <w:szCs w:val="20"/>
              </w:rPr>
              <w:t xml:space="preserve">No</w:t>
            </w:r>
          </w:p>
        </w:tc>
      </w:tr>
    </w:tbl>
    <w:p>
      <w:pPr>
        <w:spacing w:after="200"/>
      </w:pPr>
    </w:p>
    <w:p>
      <w:r>
        <w:br w:type="page"/>
      </w:r>
    </w:p>
    <w:p>
      <w:pPr>
        <w:pStyle w:val="Heading1"/>
      </w:pPr>
      <w:r>
        <w:t xml:space="preserve">3. Products and Services</w:t>
      </w:r>
    </w:p>
    <w:p>
      <w:pPr>
        <w:spacing w:after="120"/>
      </w:pPr>
      <w:r>
        <w:t xml:space="preserve">CannaSaas delivers a unified platform comprising five integrated applications, a comprehensive backend API, and production deployment infrastructure.</w:t>
      </w:r>
    </w:p>
    <w:p>
      <w:pPr>
        <w:pStyle w:val="Heading2"/>
      </w:pPr>
      <w:r>
        <w:t xml:space="preserve">Platform Applications</w:t>
      </w:r>
    </w:p>
    <w:p>
      <w:pPr>
        <w:pStyle w:val="Heading3"/>
      </w:pPr>
      <w:r>
        <w:t xml:space="preserve">Customer Storefront</w:t>
      </w:r>
    </w:p>
    <w:p>
      <w:pPr>
        <w:spacing w:after="120"/>
      </w:pPr>
      <w:r>
        <w:t xml:space="preserve">A responsive Next.js web application providing product browsing with full-text search and faceted filtering, shopping cart with variant selection, delivery and pickup ordering with geo-fenced eligibility, customer accounts with age verification and order history, and real-time order status tracking via WebSocket.</w:t>
      </w:r>
    </w:p>
    <w:p>
      <w:pPr>
        <w:pStyle w:val="Heading3"/>
      </w:pPr>
      <w:r>
        <w:t xml:space="preserve">Admin Portal</w:t>
      </w:r>
    </w:p>
    <w:p>
      <w:pPr>
        <w:spacing w:after="120"/>
      </w:pPr>
      <w:r>
        <w:t xml:space="preserve">A comprehensive management dashboard for dispensary administrators featuring analytics and KPI dashboards, product and inventory management, order monitoring and fulfillment oversight, staffing roster with certification tracking, payroll reports with CSV export, scheduling with shift templates and time-off management, compliance monitoring with audit trails, financial reporting (sales, tax, staff, inventory) with statutory references, and white-label theme selection with custom CSS support.</w:t>
      </w:r>
    </w:p>
    <w:p>
      <w:pPr>
        <w:pStyle w:val="Heading3"/>
      </w:pPr>
      <w:r>
        <w:t xml:space="preserve">Staff Portal</w:t>
      </w:r>
    </w:p>
    <w:p>
      <w:pPr>
        <w:spacing w:after="120"/>
      </w:pPr>
      <w:r>
        <w:t xml:space="preserve">A tablet-optimized application for counter operations including live order queue with Kanban-style lanes, fulfillment zone management, inventory lookup and stock alerts, product search for customer assistance, and real-time clock-in/out with elapsed time display.</w:t>
      </w:r>
    </w:p>
    <w:p>
      <w:pPr>
        <w:pStyle w:val="Heading3"/>
      </w:pPr>
      <w:r>
        <w:t xml:space="preserve">Self-Service Kiosk</w:t>
      </w:r>
    </w:p>
    <w:p>
      <w:pPr>
        <w:spacing w:after="120"/>
      </w:pPr>
      <w:r>
        <w:t xml:space="preserve">A touch-optimized in-store ordering interface with large touch targets (48px+), category filtering, quick-add buttons, pickup ordering with name entry, and automatic 15-second session reset after order confirmation.</w:t>
      </w:r>
    </w:p>
    <w:p>
      <w:pPr>
        <w:pStyle w:val="Heading3"/>
      </w:pPr>
      <w:r>
        <w:t xml:space="preserve">Backend API</w:t>
      </w:r>
    </w:p>
    <w:p>
      <w:pPr>
        <w:spacing w:after="120"/>
      </w:pPr>
      <w:r>
        <w:t xml:space="preserve">A NestJS GraphQL API providing 150+ operations across 28 modules with 79 database tables, JWT authentication with role-based access control, WebSocket real-time event broadcasting, BullMQ job queues for async processing, daily CRON jobs for reconciliation and alerts, and comprehensive audit logging.</w:t>
      </w:r>
    </w:p>
    <w:p>
      <w:r>
        <w:br w:type="page"/>
      </w:r>
    </w:p>
    <w:p>
      <w:pPr>
        <w:pStyle w:val="Heading1"/>
      </w:pPr>
      <w:r>
        <w:t xml:space="preserve">4. Compliance and Regulatory</w:t>
      </w:r>
    </w:p>
    <w:p>
      <w:pPr>
        <w:spacing w:after="120"/>
      </w:pPr>
      <w:r>
        <w:t xml:space="preserve">Cannabis compliance is the cornerstone of the CannaSaas platform. Every feature is designed with regulatory requirements as a primary consideration.</w:t>
      </w:r>
    </w:p>
    <w:p>
      <w:pPr>
        <w:pStyle w:val="Heading2"/>
      </w:pPr>
      <w:r>
        <w:t xml:space="preserve">Metrc Integration</w:t>
      </w:r>
    </w:p>
    <w:p>
      <w:pPr>
        <w:spacing w:after="120"/>
      </w:pPr>
      <w:r>
        <w:t xml:space="preserve">CannaSaas provides deep integration with the Metrc seed-to-sale tracking system used by NY, NJ, and CT. The platform includes API credential management with AES-256-CBC encryption, manifest generation for all inter-location transfers, daily automated reconciliation comparing local inventory against Metrc records, waste and destruction logging with witness tracking and approval workflows, and sync retry queues with exponential backoff for resilient data exchange.</w:t>
      </w:r>
    </w:p>
    <w:p>
      <w:pPr>
        <w:pStyle w:val="Heading2"/>
      </w:pPr>
      <w:r>
        <w:t xml:space="preserve">State-Specific Tax Compliance</w:t>
      </w:r>
    </w:p>
    <w:p>
      <w:pPr>
        <w:spacing w:after="120"/>
      </w:pPr>
      <w:r>
        <w:t xml:space="preserve">The tax engine calculates distinct tax structures for each state with full statutory references. New York applies a 9% retail cannabis excise plus per-mg THC taxes varying by product category (flower, concentrate, edible). New Jersey applies 6.625% sales tax plus 6% cannabis excise and up to 2% municipal tax. Connecticut applies 6.35% sales tax plus 3% cannabis excise and up to 3% municipal tax.</w:t>
      </w:r>
    </w:p>
    <w:p>
      <w:pPr>
        <w:pStyle w:val="Heading2"/>
      </w:pPr>
      <w:r>
        <w:t xml:space="preserve">Purchase Limit Enforcement</w:t>
      </w:r>
    </w:p>
    <w:p>
      <w:pPr>
        <w:spacing w:after="120"/>
      </w:pPr>
      <w:r>
        <w:t xml:space="preserve">State-mandated purchase limits are enforced at checkout. The system tracks per-transaction and rolling-period limits by product category and customer type, including medical patient allowances for New Jersey.</w:t>
      </w:r>
    </w:p>
    <w:p>
      <w:r>
        <w:br w:type="page"/>
      </w:r>
    </w:p>
    <w:p>
      <w:pPr>
        <w:pStyle w:val="Heading1"/>
      </w:pPr>
      <w:r>
        <w:t xml:space="preserve">5. Revenue Model</w:t>
      </w:r>
    </w:p>
    <w:p>
      <w:pPr>
        <w:spacing w:after="120"/>
      </w:pPr>
      <w:r>
        <w:t xml:space="preserve">CannaSaas employs a tiered subscription model based on dispensary size and feature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6A34A" w:val="clear"/>
            <w:tcMar>
              <w:top w:type="dxa" w:w="60"/>
              <w:left w:type="dxa" w:w="100"/>
              <w:bottom w:type="dxa" w:w="60"/>
              <w:right w:type="dxa" w:w="100"/>
            </w:tcMar>
          </w:tcPr>
          <w:p>
            <w:r>
              <w:rPr>
                <w:rFonts w:ascii="Arial" w:cs="Arial" w:eastAsia="Arial" w:hAnsi="Arial"/>
                <w:b/>
                <w:bCs/>
                <w:color w:val="FFFFFF"/>
                <w:sz w:val="20"/>
                <w:szCs w:val="20"/>
              </w:rPr>
              <w:t xml:space="preserve">Tier</w:t>
            </w:r>
          </w:p>
        </w:tc>
        <w:tc>
          <w:tcPr>
            <w:tcW w:type="dxa" w:w="2340"/>
            <w:tcBorders>
              <w:top w:val="single" w:color="D1D5DB" w:sz="1"/>
              <w:left w:val="single" w:color="D1D5DB" w:sz="1"/>
              <w:bottom w:val="single" w:color="D1D5DB" w:sz="1"/>
              <w:right w:val="single" w:color="D1D5DB" w:sz="1"/>
            </w:tcBorders>
            <w:shd w:fill="16A34A" w:val="clear"/>
            <w:tcMar>
              <w:top w:type="dxa" w:w="60"/>
              <w:left w:type="dxa" w:w="100"/>
              <w:bottom w:type="dxa" w:w="60"/>
              <w:right w:type="dxa" w:w="100"/>
            </w:tcMar>
          </w:tcPr>
          <w:p>
            <w:r>
              <w:rPr>
                <w:rFonts w:ascii="Arial" w:cs="Arial" w:eastAsia="Arial" w:hAnsi="Arial"/>
                <w:b/>
                <w:bCs/>
                <w:color w:val="FFFFFF"/>
                <w:sz w:val="20"/>
                <w:szCs w:val="20"/>
              </w:rPr>
              <w:t xml:space="preserve">Starter</w:t>
            </w:r>
          </w:p>
        </w:tc>
        <w:tc>
          <w:tcPr>
            <w:tcW w:type="dxa" w:w="2340"/>
            <w:tcBorders>
              <w:top w:val="single" w:color="D1D5DB" w:sz="1"/>
              <w:left w:val="single" w:color="D1D5DB" w:sz="1"/>
              <w:bottom w:val="single" w:color="D1D5DB" w:sz="1"/>
              <w:right w:val="single" w:color="D1D5DB" w:sz="1"/>
            </w:tcBorders>
            <w:shd w:fill="16A34A" w:val="clear"/>
            <w:tcMar>
              <w:top w:type="dxa" w:w="60"/>
              <w:left w:type="dxa" w:w="100"/>
              <w:bottom w:type="dxa" w:w="60"/>
              <w:right w:type="dxa" w:w="100"/>
            </w:tcMar>
          </w:tcPr>
          <w:p>
            <w:r>
              <w:rPr>
                <w:rFonts w:ascii="Arial" w:cs="Arial" w:eastAsia="Arial" w:hAnsi="Arial"/>
                <w:b/>
                <w:bCs/>
                <w:color w:val="FFFFFF"/>
                <w:sz w:val="20"/>
                <w:szCs w:val="20"/>
              </w:rPr>
              <w:t xml:space="preserve">Professional</w:t>
            </w:r>
          </w:p>
        </w:tc>
        <w:tc>
          <w:tcPr>
            <w:tcW w:type="dxa" w:w="2340"/>
            <w:tcBorders>
              <w:top w:val="single" w:color="D1D5DB" w:sz="1"/>
              <w:left w:val="single" w:color="D1D5DB" w:sz="1"/>
              <w:bottom w:val="single" w:color="D1D5DB" w:sz="1"/>
              <w:right w:val="single" w:color="D1D5DB" w:sz="1"/>
            </w:tcBorders>
            <w:shd w:fill="16A34A" w:val="clear"/>
            <w:tcMar>
              <w:top w:type="dxa" w:w="60"/>
              <w:left w:type="dxa" w:w="100"/>
              <w:bottom w:type="dxa" w:w="60"/>
              <w:right w:type="dxa" w:w="100"/>
            </w:tcMar>
          </w:tcPr>
          <w:p>
            <w:r>
              <w:rPr>
                <w:rFonts w:ascii="Arial" w:cs="Arial" w:eastAsia="Arial" w:hAnsi="Arial"/>
                <w:b/>
                <w:bCs/>
                <w:color w:val="FFFFFF"/>
                <w:sz w:val="20"/>
                <w:szCs w:val="20"/>
              </w:rPr>
              <w:t xml:space="preserve">Enterprise</w:t>
            </w:r>
          </w:p>
        </w:tc>
      </w:tr>
      <w:tr>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F2937"/>
                <w:sz w:val="20"/>
                <w:szCs w:val="20"/>
              </w:rPr>
              <w:t xml:space="preserve">Monthly Price</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20"/>
                <w:szCs w:val="20"/>
              </w:rPr>
              <w:t xml:space="preserve">$299/location</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20"/>
                <w:szCs w:val="20"/>
              </w:rPr>
              <w:t xml:space="preserve">$499/location</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20"/>
                <w:szCs w:val="20"/>
              </w:rPr>
              <w:t xml:space="preserve">$799/location</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1F2937"/>
                <w:sz w:val="20"/>
                <w:szCs w:val="20"/>
              </w:rPr>
              <w:t xml:space="preserve">Storefront + Cart</w:t>
            </w:r>
          </w:p>
        </w:tc>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Yes</w:t>
            </w:r>
          </w:p>
        </w:tc>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Yes</w:t>
            </w:r>
          </w:p>
        </w:tc>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Yes</w:t>
            </w:r>
          </w:p>
        </w:tc>
      </w:tr>
      <w:tr>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F2937"/>
                <w:sz w:val="20"/>
                <w:szCs w:val="20"/>
              </w:rPr>
              <w:t xml:space="preserve">Admin + Staff Portals</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20"/>
                <w:szCs w:val="20"/>
              </w:rPr>
              <w:t xml:space="preserve">Yes</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20"/>
                <w:szCs w:val="20"/>
              </w:rPr>
              <w:t xml:space="preserve">Yes</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20"/>
                <w:szCs w:val="20"/>
              </w:rPr>
              <w:t xml:space="preserve">Yes</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1F2937"/>
                <w:sz w:val="20"/>
                <w:szCs w:val="20"/>
              </w:rPr>
              <w:t xml:space="preserve">Metrc Compliance</w:t>
            </w:r>
          </w:p>
        </w:tc>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Basic</w:t>
            </w:r>
          </w:p>
        </w:tc>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Full</w:t>
            </w:r>
          </w:p>
        </w:tc>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Full + Audit</w:t>
            </w:r>
          </w:p>
        </w:tc>
      </w:tr>
      <w:tr>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F2937"/>
                <w:sz w:val="20"/>
                <w:szCs w:val="20"/>
              </w:rPr>
              <w:t xml:space="preserve">Delivery Management</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20"/>
                <w:szCs w:val="20"/>
              </w:rPr>
              <w:t xml:space="preserve">No</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20"/>
                <w:szCs w:val="20"/>
              </w:rPr>
              <w:t xml:space="preserve">Yes</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20"/>
                <w:szCs w:val="20"/>
              </w:rPr>
              <w:t xml:space="preserve">Yes</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1F2937"/>
                <w:sz w:val="20"/>
                <w:szCs w:val="20"/>
              </w:rPr>
              <w:t xml:space="preserve">Staffing + Payroll</w:t>
            </w:r>
          </w:p>
        </w:tc>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No</w:t>
            </w:r>
          </w:p>
        </w:tc>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Yes</w:t>
            </w:r>
          </w:p>
        </w:tc>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Yes</w:t>
            </w:r>
          </w:p>
        </w:tc>
      </w:tr>
      <w:tr>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F2937"/>
                <w:sz w:val="20"/>
                <w:szCs w:val="20"/>
              </w:rPr>
              <w:t xml:space="preserve">Custom Theme</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20"/>
                <w:szCs w:val="20"/>
              </w:rPr>
              <w:t xml:space="preserve">No</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20"/>
                <w:szCs w:val="20"/>
              </w:rPr>
              <w:t xml:space="preserve">Theme Selection</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20"/>
                <w:szCs w:val="20"/>
              </w:rPr>
              <w:t xml:space="preserve">Full Custom CSS</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1F2937"/>
                <w:sz w:val="20"/>
                <w:szCs w:val="20"/>
              </w:rPr>
              <w:t xml:space="preserve">Support</w:t>
            </w:r>
          </w:p>
        </w:tc>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Email</w:t>
            </w:r>
          </w:p>
        </w:tc>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Email + Chat</w:t>
            </w:r>
          </w:p>
        </w:tc>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Dedicated Manager</w:t>
            </w:r>
          </w:p>
        </w:tc>
      </w:tr>
    </w:tbl>
    <w:p>
      <w:pPr>
        <w:spacing w:after="200"/>
      </w:pPr>
    </w:p>
    <w:p>
      <w:r>
        <w:br w:type="page"/>
      </w:r>
    </w:p>
    <w:p>
      <w:pPr>
        <w:pStyle w:val="Heading1"/>
      </w:pPr>
      <w:r>
        <w:t xml:space="preserve">6. Go-to-Market Strategy</w:t>
      </w:r>
    </w:p>
    <w:p>
      <w:pPr>
        <w:pStyle w:val="Heading2"/>
      </w:pPr>
      <w:r>
        <w:t xml:space="preserve">Phase 1: Seed Market (Months 1-6)</w:t>
      </w:r>
    </w:p>
    <w:p>
      <w:pPr>
        <w:spacing w:after="120"/>
      </w:pPr>
      <w:r>
        <w:t xml:space="preserve">Launch with 5-10 pilot dispensaries in the New York Rockland County and Hudson Valley region, offering discounted pricing in exchange for feedback and case studies. Focus on building a reference base and refining the onboarding process.</w:t>
      </w:r>
    </w:p>
    <w:p>
      <w:pPr>
        <w:pStyle w:val="Heading2"/>
      </w:pPr>
      <w:r>
        <w:t xml:space="preserve">Phase 2: Regional Expansion (Months 7-18)</w:t>
      </w:r>
    </w:p>
    <w:p>
      <w:pPr>
        <w:spacing w:after="120"/>
      </w:pPr>
      <w:r>
        <w:t xml:space="preserve">Expand sales across the tri-state region through targeted outreach to newly licensed dispensaries, cannabis industry events, and referral partnerships with cannabis attorneys and compliance consultants.</w:t>
      </w:r>
    </w:p>
    <w:p>
      <w:pPr>
        <w:pStyle w:val="Heading2"/>
      </w:pPr>
      <w:r>
        <w:t xml:space="preserve">Phase 3: Market Leadership (Months 19-36)</w:t>
      </w:r>
    </w:p>
    <w:p>
      <w:pPr>
        <w:spacing w:after="120"/>
      </w:pPr>
      <w:r>
        <w:t xml:space="preserve">Establish CannaSaas as the default technology platform for independent dispensaries in the northeast, explore expansion to additional Metrc-integrated states (Massachusetts, Michigan, Colorado), and develop strategic partnerships with cannabis distributors and brands.</w:t>
      </w:r>
    </w:p>
    <w:p>
      <w:r>
        <w:br w:type="page"/>
      </w:r>
    </w:p>
    <w:p>
      <w:pPr>
        <w:pStyle w:val="Heading1"/>
      </w:pPr>
      <w:r>
        <w:t xml:space="preserve">7. Financial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1D5DB" w:sz="1"/>
              <w:left w:val="single" w:color="D1D5DB" w:sz="1"/>
              <w:bottom w:val="single" w:color="D1D5DB" w:sz="1"/>
              <w:right w:val="single" w:color="D1D5DB" w:sz="1"/>
            </w:tcBorders>
            <w:shd w:fill="16A34A" w:val="clear"/>
            <w:tcMar>
              <w:top w:type="dxa" w:w="60"/>
              <w:left w:type="dxa" w:w="100"/>
              <w:bottom w:type="dxa" w:w="60"/>
              <w:right w:type="dxa" w:w="100"/>
            </w:tcMar>
          </w:tcPr>
          <w:p>
            <w:r>
              <w:rPr>
                <w:rFonts w:ascii="Arial" w:cs="Arial" w:eastAsia="Arial" w:hAnsi="Arial"/>
                <w:b/>
                <w:bCs/>
                <w:color w:val="FFFFFF"/>
                <w:sz w:val="20"/>
                <w:szCs w:val="20"/>
              </w:rPr>
              <w:t xml:space="preserve"/>
            </w:r>
          </w:p>
        </w:tc>
        <w:tc>
          <w:tcPr>
            <w:tcW w:type="dxa" w:w="1872"/>
            <w:tcBorders>
              <w:top w:val="single" w:color="D1D5DB" w:sz="1"/>
              <w:left w:val="single" w:color="D1D5DB" w:sz="1"/>
              <w:bottom w:val="single" w:color="D1D5DB" w:sz="1"/>
              <w:right w:val="single" w:color="D1D5DB" w:sz="1"/>
            </w:tcBorders>
            <w:shd w:fill="16A3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Year 1</w:t>
            </w:r>
          </w:p>
        </w:tc>
        <w:tc>
          <w:tcPr>
            <w:tcW w:type="dxa" w:w="1872"/>
            <w:tcBorders>
              <w:top w:val="single" w:color="D1D5DB" w:sz="1"/>
              <w:left w:val="single" w:color="D1D5DB" w:sz="1"/>
              <w:bottom w:val="single" w:color="D1D5DB" w:sz="1"/>
              <w:right w:val="single" w:color="D1D5DB" w:sz="1"/>
            </w:tcBorders>
            <w:shd w:fill="16A3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Year 2</w:t>
            </w:r>
          </w:p>
        </w:tc>
        <w:tc>
          <w:tcPr>
            <w:tcW w:type="dxa" w:w="1872"/>
            <w:tcBorders>
              <w:top w:val="single" w:color="D1D5DB" w:sz="1"/>
              <w:left w:val="single" w:color="D1D5DB" w:sz="1"/>
              <w:bottom w:val="single" w:color="D1D5DB" w:sz="1"/>
              <w:right w:val="single" w:color="D1D5DB" w:sz="1"/>
            </w:tcBorders>
            <w:shd w:fill="16A3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Year 3</w:t>
            </w:r>
          </w:p>
        </w:tc>
        <w:tc>
          <w:tcPr>
            <w:tcW w:type="dxa" w:w="1872"/>
            <w:tcBorders>
              <w:top w:val="single" w:color="D1D5DB" w:sz="1"/>
              <w:left w:val="single" w:color="D1D5DB" w:sz="1"/>
              <w:bottom w:val="single" w:color="D1D5DB" w:sz="1"/>
              <w:right w:val="single" w:color="D1D5DB" w:sz="1"/>
            </w:tcBorders>
            <w:shd w:fill="16A3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Year 5</w:t>
            </w:r>
          </w:p>
        </w:tc>
      </w:tr>
      <w:tr>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F2937"/>
                <w:sz w:val="20"/>
                <w:szCs w:val="20"/>
              </w:rPr>
              <w:t xml:space="preserve">Clients</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color w:val="1F2937"/>
                <w:sz w:val="20"/>
                <w:szCs w:val="20"/>
              </w:rPr>
              <w:t xml:space="preserve">25</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color w:val="1F2937"/>
                <w:sz w:val="20"/>
                <w:szCs w:val="20"/>
              </w:rPr>
              <w:t xml:space="preserve">85</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color w:val="1F2937"/>
                <w:sz w:val="20"/>
                <w:szCs w:val="20"/>
              </w:rPr>
              <w:t xml:space="preserve">200</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color w:val="1F2937"/>
                <w:sz w:val="20"/>
                <w:szCs w:val="20"/>
              </w:rPr>
              <w:t xml:space="preserve">500+</w:t>
            </w:r>
          </w:p>
        </w:tc>
      </w:tr>
      <w:tr>
        <w:tc>
          <w:tcPr>
            <w:tcW w:type="dxa" w:w="1872"/>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1F2937"/>
                <w:sz w:val="20"/>
                <w:szCs w:val="20"/>
              </w:rPr>
              <w:t xml:space="preserve">Avg Revenue/Client</w:t>
            </w:r>
          </w:p>
        </w:tc>
        <w:tc>
          <w:tcPr>
            <w:tcW w:type="dxa" w:w="1872"/>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jc w:val="center"/>
            </w:pPr>
            <w:r>
              <w:rPr>
                <w:rFonts w:ascii="Arial" w:cs="Arial" w:eastAsia="Arial" w:hAnsi="Arial"/>
                <w:color w:val="1F2937"/>
                <w:sz w:val="20"/>
                <w:szCs w:val="20"/>
              </w:rPr>
              <w:t xml:space="preserve">$480/mo</w:t>
            </w:r>
          </w:p>
        </w:tc>
        <w:tc>
          <w:tcPr>
            <w:tcW w:type="dxa" w:w="1872"/>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jc w:val="center"/>
            </w:pPr>
            <w:r>
              <w:rPr>
                <w:rFonts w:ascii="Arial" w:cs="Arial" w:eastAsia="Arial" w:hAnsi="Arial"/>
                <w:color w:val="1F2937"/>
                <w:sz w:val="20"/>
                <w:szCs w:val="20"/>
              </w:rPr>
              <w:t xml:space="preserve">$500/mo</w:t>
            </w:r>
          </w:p>
        </w:tc>
        <w:tc>
          <w:tcPr>
            <w:tcW w:type="dxa" w:w="1872"/>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jc w:val="center"/>
            </w:pPr>
            <w:r>
              <w:rPr>
                <w:rFonts w:ascii="Arial" w:cs="Arial" w:eastAsia="Arial" w:hAnsi="Arial"/>
                <w:color w:val="1F2937"/>
                <w:sz w:val="20"/>
                <w:szCs w:val="20"/>
              </w:rPr>
              <w:t xml:space="preserve">$580/mo</w:t>
            </w:r>
          </w:p>
        </w:tc>
        <w:tc>
          <w:tcPr>
            <w:tcW w:type="dxa" w:w="1872"/>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jc w:val="center"/>
            </w:pPr>
            <w:r>
              <w:rPr>
                <w:rFonts w:ascii="Arial" w:cs="Arial" w:eastAsia="Arial" w:hAnsi="Arial"/>
                <w:color w:val="1F2937"/>
                <w:sz w:val="20"/>
                <w:szCs w:val="20"/>
              </w:rPr>
              <w:t xml:space="preserve">$650/mo</w:t>
            </w:r>
          </w:p>
        </w:tc>
      </w:tr>
      <w:tr>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F2937"/>
                <w:sz w:val="20"/>
                <w:szCs w:val="20"/>
              </w:rPr>
              <w:t xml:space="preserve">Annual Revenue</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color w:val="1F2937"/>
                <w:sz w:val="20"/>
                <w:szCs w:val="20"/>
              </w:rPr>
              <w:t xml:space="preserve">$144K</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color w:val="1F2937"/>
                <w:sz w:val="20"/>
                <w:szCs w:val="20"/>
              </w:rPr>
              <w:t xml:space="preserve">$510K</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color w:val="1F2937"/>
                <w:sz w:val="20"/>
                <w:szCs w:val="20"/>
              </w:rPr>
              <w:t xml:space="preserve">$1.39M</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color w:val="1F2937"/>
                <w:sz w:val="20"/>
                <w:szCs w:val="20"/>
              </w:rPr>
              <w:t xml:space="preserve">$3.9M</w:t>
            </w:r>
          </w:p>
        </w:tc>
      </w:tr>
      <w:tr>
        <w:tc>
          <w:tcPr>
            <w:tcW w:type="dxa" w:w="1872"/>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1F2937"/>
                <w:sz w:val="20"/>
                <w:szCs w:val="20"/>
              </w:rPr>
              <w:t xml:space="preserve">Gross Margin</w:t>
            </w:r>
          </w:p>
        </w:tc>
        <w:tc>
          <w:tcPr>
            <w:tcW w:type="dxa" w:w="1872"/>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jc w:val="center"/>
            </w:pPr>
            <w:r>
              <w:rPr>
                <w:rFonts w:ascii="Arial" w:cs="Arial" w:eastAsia="Arial" w:hAnsi="Arial"/>
                <w:color w:val="1F2937"/>
                <w:sz w:val="20"/>
                <w:szCs w:val="20"/>
              </w:rPr>
              <w:t xml:space="preserve">65%</w:t>
            </w:r>
          </w:p>
        </w:tc>
        <w:tc>
          <w:tcPr>
            <w:tcW w:type="dxa" w:w="1872"/>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jc w:val="center"/>
            </w:pPr>
            <w:r>
              <w:rPr>
                <w:rFonts w:ascii="Arial" w:cs="Arial" w:eastAsia="Arial" w:hAnsi="Arial"/>
                <w:color w:val="1F2937"/>
                <w:sz w:val="20"/>
                <w:szCs w:val="20"/>
              </w:rPr>
              <w:t xml:space="preserve">72%</w:t>
            </w:r>
          </w:p>
        </w:tc>
        <w:tc>
          <w:tcPr>
            <w:tcW w:type="dxa" w:w="1872"/>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jc w:val="center"/>
            </w:pPr>
            <w:r>
              <w:rPr>
                <w:rFonts w:ascii="Arial" w:cs="Arial" w:eastAsia="Arial" w:hAnsi="Arial"/>
                <w:color w:val="1F2937"/>
                <w:sz w:val="20"/>
                <w:szCs w:val="20"/>
              </w:rPr>
              <w:t xml:space="preserve">78%</w:t>
            </w:r>
          </w:p>
        </w:tc>
        <w:tc>
          <w:tcPr>
            <w:tcW w:type="dxa" w:w="1872"/>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jc w:val="center"/>
            </w:pPr>
            <w:r>
              <w:rPr>
                <w:rFonts w:ascii="Arial" w:cs="Arial" w:eastAsia="Arial" w:hAnsi="Arial"/>
                <w:color w:val="1F2937"/>
                <w:sz w:val="20"/>
                <w:szCs w:val="20"/>
              </w:rPr>
              <w:t xml:space="preserve">82%</w:t>
            </w:r>
          </w:p>
        </w:tc>
      </w:tr>
      <w:tr>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F2937"/>
                <w:sz w:val="20"/>
                <w:szCs w:val="20"/>
              </w:rPr>
              <w:t xml:space="preserve">Breakeven</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color w:val="16A34A"/>
                <w:sz w:val="20"/>
                <w:szCs w:val="20"/>
              </w:rPr>
              <w:t xml:space="preserve">Month 14</w:t>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20"/>
                <w:szCs w:val="20"/>
              </w:rPr>
              <w:t xml:space="preserve"/>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20"/>
                <w:szCs w:val="20"/>
              </w:rPr>
              <w:t xml:space="preserve"/>
            </w:r>
          </w:p>
        </w:tc>
        <w:tc>
          <w:tcPr>
            <w:tcW w:type="dxa" w:w="1872"/>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20"/>
                <w:szCs w:val="20"/>
              </w:rPr>
              <w:t xml:space="preserve"/>
            </w:r>
          </w:p>
        </w:tc>
      </w:tr>
    </w:tbl>
    <w:p>
      <w:pPr>
        <w:spacing w:after="200"/>
      </w:pPr>
    </w:p>
    <w:p>
      <w:pPr>
        <w:pStyle w:val="Heading1"/>
      </w:pPr>
      <w:r>
        <w:t xml:space="preserve">8. Use of Funds</w:t>
      </w:r>
    </w:p>
    <w:p>
      <w:pPr>
        <w:spacing w:after="120"/>
      </w:pPr>
      <w:r>
        <w:t xml:space="preserve">The $500,000 seed round will be allocated as follows:</w:t>
      </w:r>
    </w:p>
    <w:p>
      <w:pPr>
        <w:pStyle w:val="ListParagraph"/>
        <w:numPr>
          <w:ilvl w:val="0"/>
          <w:numId w:val="2"/>
        </w:numPr>
        <w:spacing w:after="60"/>
      </w:pPr>
      <w:r>
        <w:rPr>
          <w:rFonts w:ascii="Arial" w:cs="Arial" w:eastAsia="Arial" w:hAnsi="Arial"/>
          <w:sz w:val="22"/>
          <w:szCs w:val="22"/>
        </w:rPr>
        <w:t xml:space="preserve">Development and QA (30% / $150K): Final development sprint, automated testing, security audit, penetration testing, and ongoing platform maintenance</w:t>
      </w:r>
    </w:p>
    <w:p>
      <w:pPr>
        <w:pStyle w:val="ListParagraph"/>
        <w:numPr>
          <w:ilvl w:val="0"/>
          <w:numId w:val="2"/>
        </w:numPr>
        <w:spacing w:after="60"/>
      </w:pPr>
      <w:r>
        <w:rPr>
          <w:rFonts w:ascii="Arial" w:cs="Arial" w:eastAsia="Arial" w:hAnsi="Arial"/>
          <w:sz w:val="22"/>
          <w:szCs w:val="22"/>
        </w:rPr>
        <w:t xml:space="preserve">Sales and Marketing (40% / $200K): Sales team hire, dispensary onboarding specialists, cannabis industry conferences, digital marketing, and content development</w:t>
      </w:r>
    </w:p>
    <w:p>
      <w:pPr>
        <w:pStyle w:val="ListParagraph"/>
        <w:numPr>
          <w:ilvl w:val="0"/>
          <w:numId w:val="2"/>
        </w:numPr>
        <w:spacing w:after="60"/>
      </w:pPr>
      <w:r>
        <w:rPr>
          <w:rFonts w:ascii="Arial" w:cs="Arial" w:eastAsia="Arial" w:hAnsi="Arial"/>
          <w:sz w:val="22"/>
          <w:szCs w:val="22"/>
        </w:rPr>
        <w:t xml:space="preserve">Operations and Infrastructure (20% / $100K): Cloud infrastructure (AWS), monitoring and alerting, customer support tooling, and office/equipment</w:t>
      </w:r>
    </w:p>
    <w:p>
      <w:pPr>
        <w:pStyle w:val="ListParagraph"/>
        <w:numPr>
          <w:ilvl w:val="0"/>
          <w:numId w:val="2"/>
        </w:numPr>
        <w:spacing w:after="60"/>
      </w:pPr>
      <w:r>
        <w:rPr>
          <w:rFonts w:ascii="Arial" w:cs="Arial" w:eastAsia="Arial" w:hAnsi="Arial"/>
          <w:sz w:val="22"/>
          <w:szCs w:val="22"/>
        </w:rPr>
        <w:t xml:space="preserve">Legal and Compliance (10% / $50K): Cannabis industry legal counsel, data privacy compliance (SOC 2 preparation), state registrations, and IP protection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Confidential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6A34A" w:sz="4" w:space="4"/>
      </w:pBdr>
      <w:tabs>
        <w:tab w:val="right" w:pos="9026"/>
      </w:tabs>
    </w:pPr>
    <w:r>
      <w:rPr>
        <w:rFonts w:ascii="Arial" w:cs="Arial" w:eastAsia="Arial" w:hAnsi="Arial"/>
        <w:b/>
        <w:bCs/>
        <w:color w:val="16A34A"/>
        <w:sz w:val="18"/>
        <w:szCs w:val="18"/>
      </w:rPr>
      <w:t xml:space="preserve">CannaSaas</w:t>
    </w:r>
    <w:r>
      <w:rPr>
        <w:rFonts w:ascii="Arial" w:cs="Arial" w:eastAsia="Arial" w:hAnsi="Arial"/>
        <w:color w:val="6B7280"/>
        <w:sz w:val="18"/>
        <w:szCs w:val="18"/>
      </w:rPr>
      <w:t xml:space="preserve">  |  Business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4532D"/>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6A34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2026-03-13T17:14:45.183Z</dcterms:created>
  <dcterms:modified xsi:type="dcterms:W3CDTF">2026-03-13T17:14:45.183Z</dcterms:modified>
</cp:coreProperties>
</file>

<file path=docProps/custom.xml><?xml version="1.0" encoding="utf-8"?>
<Properties xmlns="http://schemas.openxmlformats.org/officeDocument/2006/custom-properties" xmlns:vt="http://schemas.openxmlformats.org/officeDocument/2006/docPropsVTypes"/>
</file>