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Vitamin</w:t>
      </w:r>
      <w:r>
        <w:t xml:space="preserve"> </w:t>
      </w:r>
      <w:r>
        <w:t xml:space="preserve">C</w:t>
      </w:r>
      <w:r>
        <w:t xml:space="preserve"> </w:t>
      </w:r>
      <w:r>
        <w:t xml:space="preserve">Delivery</w:t>
      </w:r>
      <w:r>
        <w:t xml:space="preserve"> </w:t>
      </w:r>
      <w:r>
        <w:t xml:space="preserve">Method</w:t>
      </w:r>
      <w:r>
        <w:t xml:space="preserve"> </w:t>
      </w:r>
      <w:r>
        <w:t xml:space="preserve">and</w:t>
      </w:r>
      <w:r>
        <w:t xml:space="preserve"> </w:t>
      </w:r>
      <w:r>
        <w:t xml:space="preserve">Dose</w:t>
      </w:r>
      <w:r>
        <w:t xml:space="preserve"> </w:t>
      </w:r>
      <w:r>
        <w:t xml:space="preserve">Level</w:t>
      </w:r>
      <w:r>
        <w:t xml:space="preserve"> </w:t>
      </w:r>
      <w:r>
        <w:t xml:space="preserve">on</w:t>
      </w:r>
      <w:r>
        <w:t xml:space="preserve"> </w:t>
      </w: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in</w:t>
      </w:r>
      <w:r>
        <w:t xml:space="preserve"> </w:t>
      </w:r>
      <w:r>
        <w:t xml:space="preserve">Guinea</w:t>
      </w:r>
      <w:r>
        <w:t xml:space="preserve"> </w:t>
      </w:r>
      <w:r>
        <w:t xml:space="preserve">Pigs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Goldberg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hypothesis"/>
      <w:bookmarkEnd w:id="21"/>
      <w:r>
        <w:t xml:space="preserve">Hypothesis</w:t>
      </w:r>
    </w:p>
    <w:p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states that neither the delivery method of vitamin C, nor the dose level of vitamin C affects tooth growth in guinea pigs.</w:t>
      </w:r>
    </w:p>
    <w:p>
      <w:pPr>
        <w:pStyle w:val="Heading2"/>
      </w:pPr>
      <w:bookmarkStart w:id="22" w:name="the-data-set"/>
      <w:bookmarkEnd w:id="22"/>
      <w:r>
        <w:t xml:space="preserve">The Data Set</w:t>
      </w:r>
    </w:p>
    <w:p>
      <w:r>
        <w:t xml:space="preserve">The data set, "ToothGrowth" is loaded from the data package in R. and includes the following:</w:t>
      </w:r>
    </w:p>
    <w:p>
      <w:r>
        <w:rPr>
          <w:b/>
        </w:rPr>
        <w:t xml:space="preserve">Description</w:t>
      </w:r>
    </w:p>
    <w:p>
      <w:r>
        <w:t xml:space="preserve">The response is the length of odontoblasts (teeth) in each of 10 guinea pigs at each of three dose levels of Vitamin C (0.5, 1, and 2 mg) with each of two delivery methods (orange juice or ascorbic acid).</w:t>
      </w:r>
    </w:p>
    <w:p>
      <w:r>
        <w:rPr>
          <w:b/>
        </w:rPr>
        <w:t xml:space="preserve">Source</w:t>
      </w:r>
    </w:p>
    <w:p>
      <w:r>
        <w:t xml:space="preserve">C. I. Bliss (1952) The Statistics of Bioassay. Academic Press.</w:t>
      </w:r>
    </w:p>
    <w:p>
      <w:r>
        <w:rPr>
          <w:b/>
        </w:rPr>
        <w:t xml:space="preserve">References</w:t>
      </w:r>
    </w:p>
    <w:p>
      <w:r>
        <w:t xml:space="preserve">McNeil, D. R. (1977) Interactive Data Analysis. New York: Wiley.</w:t>
      </w:r>
    </w:p>
    <w:p>
      <w:pPr>
        <w:pStyle w:val="Heading3"/>
      </w:pPr>
      <w:bookmarkStart w:id="23" w:name="format"/>
      <w:bookmarkEnd w:id="23"/>
      <w:r>
        <w:t xml:space="preserve">Format</w:t>
      </w:r>
    </w:p>
    <w:p>
      <w:r>
        <w:t xml:space="preserve">The data set has 60 observations with 3 variables, but further inpections shows us that</w:t>
      </w:r>
      <w:r>
        <w:t xml:space="preserve"> </w:t>
      </w:r>
      <w:r>
        <w:rPr>
          <w:i/>
        </w:rPr>
        <w:t xml:space="preserve">dose</w:t>
      </w:r>
      <w:r>
        <w:t xml:space="preserve"> </w:t>
      </w:r>
      <w:r>
        <w:t xml:space="preserve">should be a factor, not numeric, as there are only three discrete options.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(d$dose)</w:t>
      </w:r>
    </w:p>
    <w:p>
      <w:r>
        <w:t xml:space="preserve">[1] 0.5 1.0 2.0</w:t>
      </w:r>
    </w:p>
    <w:p>
      <w:pPr>
        <w:pStyle w:val="Heading3"/>
      </w:pPr>
      <w:bookmarkStart w:id="24" w:name="transform-the-data-for-inspection"/>
      <w:bookmarkEnd w:id="24"/>
      <w:r>
        <w:t xml:space="preserve">Transform the data for inspection</w:t>
      </w:r>
    </w:p>
    <w:p>
      <w:r>
        <w:t xml:space="preserve">By creating individual factors for each of the six supplement~dose combinations, we can easily plot the data for initial exploration.</w:t>
      </w:r>
    </w:p>
    <w:p>
      <w:pPr>
        <w:pStyle w:val="SourceCode"/>
      </w:pPr>
      <w:r>
        <w:rPr>
          <w:rStyle w:val="NormalTok"/>
        </w:rPr>
        <w:t xml:space="preserve">d2&lt;-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dosexsupp=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(supp, dose,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)))</w:t>
      </w:r>
    </w:p>
    <w:p>
      <w:r>
        <w:t xml:space="preserve">A violin plot, similar to a box plot, offers visually striking and intuitive way to see distributions of factor.</w:t>
      </w:r>
    </w:p>
    <w:p>
      <w:r>
        <w:t xml:space="preserve">Visual inspections suggests that there may not be a significant difference between supplement types in and of themselves, but perhaps when broken down by dose and type there 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pigtoothgrowt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We'll confirm with a t.test comparing our variables. since each of the 60 subjects in our study are independent, we'll do an unpaired t-test. Additionally, since we're only concerned with the greatest amount of growth difference, we'll set var.equal to false.</w:t>
      </w:r>
    </w:p>
    <w:p>
      <w:pPr>
        <w:pStyle w:val="Heading3"/>
      </w:pPr>
      <w:bookmarkStart w:id="26" w:name="compare-supplements"/>
      <w:bookmarkEnd w:id="26"/>
      <w:r>
        <w:t xml:space="preserve">Compare Supplements</w:t>
      </w:r>
    </w:p>
    <w:p>
      <w:r>
        <w:t xml:space="preserve">Null hypothesis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is that there is no difference in effect on tooth growth that can be attributed to supplement type in and of itself.</w:t>
      </w:r>
    </w:p>
    <w:p>
      <w:pPr>
        <w:pStyle w:val="SourceCode"/>
      </w:pPr>
      <w:r>
        <w:rPr>
          <w:rStyle w:val="NormalTok"/>
        </w:rPr>
        <w:t xml:space="preserve">suppstest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t xml:space="preserve">Since our p-value = 0.0606345 is above .05 and the confidence interval is -0.1710156, 7.5710156 which includes 0, we cannot reject the null hypothesis.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1.9153, df = 55.309, p-value = 0.06063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-0.1710156  7.5710156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20.66333         16.96333</w:t>
      </w:r>
    </w:p>
    <w:p>
      <w:pPr>
        <w:pStyle w:val="Heading3"/>
      </w:pPr>
      <w:bookmarkStart w:id="27" w:name="compare-doses"/>
      <w:bookmarkEnd w:id="27"/>
      <w:r>
        <w:t xml:space="preserve">Compare Doses</w:t>
      </w:r>
    </w:p>
    <w:p>
      <w:r>
        <w:t xml:space="preserve">Null hypothesis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is that there is no difference in effect on tooth growth that can be attributed to dose level and supplement type.</w:t>
      </w:r>
    </w:p>
    <w:p>
      <w:r>
        <w:t xml:space="preserve">We'll create three subsets of data in order to compare them</w:t>
      </w:r>
    </w:p>
    <w:p>
      <w:r>
        <w:t xml:space="preserve">In the comparison between .5 and 1.0 mg, the p-value is quite low 0.0061813 and the confidence interval 2.5849559 to 13.4150441 does not encompass 0, so we can reject the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in this case.</w:t>
      </w:r>
    </w:p>
    <w:p>
      <w:r>
        <w:t xml:space="preserve">For the comparisons with 2.0 mg, the p-value is above 0.05 (0.312588 and 0.3891927) and the confidence intervals both include zero (-4.3800688 to 12.8400688 and -3.0026138 to 7.3226138), therefore we do not reject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for the 2.0 dose group.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(tall)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OJMean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VCMean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 vs 1.0 mg</w:t>
            </w:r>
          </w:p>
        </w:tc>
        <w:tc>
          <w:p>
            <w:pPr>
              <w:pStyle w:val="Compact"/>
              <w:jc w:val="right"/>
            </w:pPr>
            <w:r>
              <w:t xml:space="preserve">0.0061813</w:t>
            </w:r>
          </w:p>
        </w:tc>
        <w:tc>
          <w:p>
            <w:pPr>
              <w:pStyle w:val="Compact"/>
              <w:jc w:val="right"/>
            </w:pPr>
            <w:r>
              <w:t xml:space="preserve">2.584956</w:t>
            </w:r>
          </w:p>
        </w:tc>
        <w:tc>
          <w:p>
            <w:pPr>
              <w:pStyle w:val="Compact"/>
              <w:jc w:val="right"/>
            </w:pPr>
            <w:r>
              <w:t xml:space="preserve">13.415044</w:t>
            </w:r>
          </w:p>
        </w:tc>
        <w:tc>
          <w:p>
            <w:pPr>
              <w:pStyle w:val="Compact"/>
              <w:jc w:val="right"/>
            </w:pPr>
            <w:r>
              <w:t xml:space="preserve">19.54</w:t>
            </w:r>
          </w:p>
        </w:tc>
        <w:tc>
          <w:p>
            <w:pPr>
              <w:pStyle w:val="Compact"/>
              <w:jc w:val="right"/>
            </w:pPr>
            <w:r>
              <w:t xml:space="preserve">11.54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 vs 2.0 mg</w:t>
            </w:r>
          </w:p>
        </w:tc>
        <w:tc>
          <w:p>
            <w:pPr>
              <w:pStyle w:val="Compact"/>
              <w:jc w:val="right"/>
            </w:pPr>
            <w:r>
              <w:t xml:space="preserve">0.3125880</w:t>
            </w:r>
          </w:p>
        </w:tc>
        <w:tc>
          <w:p>
            <w:pPr>
              <w:pStyle w:val="Compact"/>
              <w:jc w:val="right"/>
            </w:pPr>
            <w:r>
              <w:t xml:space="preserve">-4.380069</w:t>
            </w:r>
          </w:p>
        </w:tc>
        <w:tc>
          <w:p>
            <w:pPr>
              <w:pStyle w:val="Compact"/>
              <w:jc w:val="right"/>
            </w:pPr>
            <w:r>
              <w:t xml:space="preserve">12.840069</w:t>
            </w:r>
          </w:p>
        </w:tc>
        <w:tc>
          <w:p>
            <w:pPr>
              <w:pStyle w:val="Compact"/>
              <w:jc w:val="right"/>
            </w:pPr>
            <w:r>
              <w:t xml:space="preserve">20.41</w:t>
            </w:r>
          </w:p>
        </w:tc>
        <w:tc>
          <w:p>
            <w:pPr>
              <w:pStyle w:val="Compact"/>
              <w:jc w:val="right"/>
            </w:pPr>
            <w:r>
              <w:t xml:space="preserve">16.18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 vs 2.0 mg</w:t>
            </w:r>
          </w:p>
        </w:tc>
        <w:tc>
          <w:p>
            <w:pPr>
              <w:pStyle w:val="Compact"/>
              <w:jc w:val="right"/>
            </w:pPr>
            <w:r>
              <w:t xml:space="preserve">0.3891927</w:t>
            </w:r>
          </w:p>
        </w:tc>
        <w:tc>
          <w:p>
            <w:pPr>
              <w:pStyle w:val="Compact"/>
              <w:jc w:val="right"/>
            </w:pPr>
            <w:r>
              <w:t xml:space="preserve">-3.002614</w:t>
            </w:r>
          </w:p>
        </w:tc>
        <w:tc>
          <w:p>
            <w:pPr>
              <w:pStyle w:val="Compact"/>
              <w:jc w:val="right"/>
            </w:pPr>
            <w:r>
              <w:t xml:space="preserve">7.322614</w:t>
            </w:r>
          </w:p>
        </w:tc>
        <w:tc>
          <w:p>
            <w:pPr>
              <w:pStyle w:val="Compact"/>
              <w:jc w:val="right"/>
            </w:pPr>
            <w:r>
              <w:t xml:space="preserve">23.57</w:t>
            </w:r>
          </w:p>
        </w:tc>
        <w:tc>
          <w:p>
            <w:pPr>
              <w:pStyle w:val="Compact"/>
              <w:jc w:val="right"/>
            </w:pPr>
            <w:r>
              <w:t xml:space="preserve">21.41</w:t>
            </w:r>
          </w:p>
        </w:tc>
      </w:tr>
    </w:tbl>
    <w:p>
      <w:r>
        <w:t xml:space="preserve">Since we cannot reject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for the 2.0 dose level, the final exploration will be between OJ and VC at the .5 and 1.0 level.</w:t>
      </w:r>
    </w:p>
    <w:p>
      <w:r>
        <w:t xml:space="preserve">This final test confirms that at the both the 0.5 and 1.0 dose levels, Orange Juice (OJ), appears to have a significantly greater effect on tooth growth in Guinea Pigs than Ascorbic Acid.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OJMean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VCMean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.5 mg</w:t>
            </w:r>
          </w:p>
        </w:tc>
        <w:tc>
          <w:p>
            <w:pPr>
              <w:pStyle w:val="Compact"/>
              <w:jc w:val="right"/>
            </w:pPr>
            <w:r>
              <w:t xml:space="preserve">0.0063586</w:t>
            </w:r>
          </w:p>
        </w:tc>
        <w:tc>
          <w:p>
            <w:pPr>
              <w:pStyle w:val="Compact"/>
              <w:jc w:val="right"/>
            </w:pPr>
            <w:r>
              <w:t xml:space="preserve">1.719057</w:t>
            </w:r>
          </w:p>
        </w:tc>
        <w:tc>
          <w:p>
            <w:pPr>
              <w:pStyle w:val="Compact"/>
              <w:jc w:val="right"/>
            </w:pPr>
            <w:r>
              <w:t xml:space="preserve">8.780943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7.98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 mg</w:t>
            </w:r>
          </w:p>
        </w:tc>
        <w:tc>
          <w:p>
            <w:pPr>
              <w:pStyle w:val="Compact"/>
              <w:jc w:val="right"/>
            </w:pPr>
            <w:r>
              <w:t xml:space="preserve">0.0010384</w:t>
            </w:r>
          </w:p>
        </w:tc>
        <w:tc>
          <w:p>
            <w:pPr>
              <w:pStyle w:val="Compact"/>
              <w:jc w:val="right"/>
            </w:pPr>
            <w:r>
              <w:t xml:space="preserve">2.802148</w:t>
            </w:r>
          </w:p>
        </w:tc>
        <w:tc>
          <w:p>
            <w:pPr>
              <w:pStyle w:val="Compact"/>
              <w:jc w:val="right"/>
            </w:pPr>
            <w:r>
              <w:t xml:space="preserve">9.057852</w:t>
            </w:r>
          </w:p>
        </w:tc>
        <w:tc>
          <w:p>
            <w:pPr>
              <w:pStyle w:val="Compact"/>
              <w:jc w:val="right"/>
            </w:pPr>
            <w:r>
              <w:t xml:space="preserve">22.70</w:t>
            </w:r>
          </w:p>
        </w:tc>
        <w:tc>
          <w:p>
            <w:pPr>
              <w:pStyle w:val="Compact"/>
              <w:jc w:val="right"/>
            </w:pPr>
            <w:r>
              <w:t xml:space="preserve">16.77</w:t>
            </w:r>
          </w:p>
        </w:tc>
      </w:tr>
    </w:tbl>
    <w:p>
      <w:pPr>
        <w:pStyle w:val="Heading1"/>
      </w:pPr>
      <w:bookmarkStart w:id="28" w:name="conclusion"/>
      <w:bookmarkEnd w:id="28"/>
      <w:r>
        <w:t xml:space="preserve">Conclusion</w:t>
      </w:r>
    </w:p>
    <w:p>
      <w:r>
        <w:t xml:space="preserve">Dose level appears to have an effect on tooth growth at every dose level, however We can reject the null hypothesis that dose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delivery type have no effect on tooth growth in guinea pigs and suggest that at lower doses, Orange Juice has a greater effect.</w:t>
      </w:r>
    </w:p>
    <w:p>
      <w:r>
        <w:t xml:space="preserve">It appears that at levels below 2.0 mg, Vitamin C delivered via Orange Juice has a greater positive effect on Guinea Pig tooth growth than when delivered as an isolated supplement in the form of Ascorbic Acid.</w:t>
      </w:r>
    </w:p>
    <w:p>
      <w:r>
        <w:t xml:space="preserve">This is based on the assumption that:</w:t>
      </w:r>
    </w:p>
    <w:p>
      <w:pPr>
        <w:pStyle w:val="Compact"/>
        <w:numPr>
          <w:numId w:val="1001"/>
          <w:ilvl w:val="0"/>
        </w:numPr>
      </w:pPr>
      <w:r>
        <w:t xml:space="preserve">Guinea pigs were from a similar population as regards health</w:t>
      </w:r>
    </w:p>
    <w:p>
      <w:pPr>
        <w:pStyle w:val="Compact"/>
        <w:numPr>
          <w:numId w:val="1001"/>
          <w:ilvl w:val="0"/>
        </w:numPr>
      </w:pPr>
      <w:r>
        <w:t xml:space="preserve">Other dietary factors were controlled for.</w:t>
      </w:r>
    </w:p>
    <w:p>
      <w:pPr>
        <w:pStyle w:val="Heading4"/>
      </w:pPr>
      <w:bookmarkStart w:id="29" w:name="appendix"/>
      <w:bookmarkEnd w:id="29"/>
      <w:r>
        <w:t xml:space="preserve">Appendix</w:t>
      </w:r>
    </w:p>
    <w:p>
      <w:r>
        <w:t xml:space="preserve">The R libraries used in this analysis inlude: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</w:p>
    <w:p>
      <w:r>
        <w:t xml:space="preserve">The data was subsetted with the following code:</w:t>
      </w:r>
    </w:p>
    <w:p>
      <w:pPr>
        <w:pStyle w:val="SourceCode"/>
      </w:pPr>
      <w:r>
        <w:rPr>
          <w:rStyle w:val="NormalTok"/>
        </w:rPr>
        <w:t xml:space="preserve">d0510&lt;-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(d, dose==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d0520&lt;-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(d, dose==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d1020&lt;-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(d, dose==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t0510&lt;-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(len~supp,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d0510,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t0520&lt;-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(len~supp,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d0520,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t1020&lt;-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(len~supp,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d1020,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compareall&lt;-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t0510&lt;-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=t0510$p.value,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=t0510$conf.int[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=t0510$conf.int[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=t0510$estimate[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=t0510$estimate[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t0520&lt;-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=t0520$p.value,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=t0520$conf.int[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=t0520$conf.int[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=t0520$estimate[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=t0520$estimate[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t1020&lt;-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=t1020$p.value,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=t1020$conf.int[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=t1020$conf.int[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=t1020$estimate[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=t1020$estimate[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(t0510, t0520, t1020 ))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"OJMean"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 vs 1.0 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"0.5 vs 2.0 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 vs 2.0 mg"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final5&lt;-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(d, dose==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final10&lt;-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(d, dose==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tfinal5&lt;-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(len~supp,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tfinal10&lt;-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(len~supp,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final10,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tfinal5&lt;-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=tfinal5$p.value,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=tfinal5$conf.int[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=tfinal5$conf.int[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=tfinal5$estimate[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=tfinal5$estimate[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tfinal10&lt;-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=tfinal10$p.value,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=tfinal10$conf.int[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=tfinal10$conf.int[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=tfinal10$estimate[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=tfinal10$estimate[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tfinalall&lt;-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(tfinal5, tfinal10))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(tfinalall)&lt;-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"OJMean"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(tfinalall)&lt;-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".5 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 mg"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902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684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Vitamin C Delivery Method and Dose Level on Tooth Growth in Guinea Pigs</dc:title>
  <dc:creator>Alyssa Goldberg</dc:creator>
  <dcterms:created xsi:type="dcterms:W3CDTF">2015-11-20</dcterms:created>
  <dcterms:modified xsi:type="dcterms:W3CDTF">2015-11-20</dcterms:modified>
</cp:coreProperties>
</file>