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A1A1A"/>
          <w:sz w:val="44"/>
          <w:szCs w:val="44"/>
        </w:rPr>
        <w:t xml:space="preserve">W.E. CREATIVE INTELLIGENCE PLATFORM</w:t>
      </w:r>
    </w:p>
    <w:p>
      <w:pPr>
        <w:spacing w:after="120"/>
        <w:jc w:val="center"/>
      </w:pPr>
      <w:r>
        <w:rPr>
          <w:b/>
          <w:bCs/>
          <w:color w:val="C75B12"/>
          <w:sz w:val="30"/>
          <w:szCs w:val="30"/>
        </w:rPr>
        <w:t xml:space="preserve">PLATFORM SPECIFICATION</w:t>
      </w:r>
    </w:p>
    <w:p>
      <w:pPr>
        <w:spacing w:after="2000"/>
        <w:jc w:val="center"/>
      </w:pPr>
      <w:r>
        <w:rPr>
          <w:color w:val="595959"/>
          <w:sz w:val="21"/>
          <w:szCs w:val="21"/>
        </w:rPr>
        <w:t xml:space="preserve">Document WET-SPEC-001 · Version 1.0 · August 2, 2026</w:t>
      </w:r>
    </w:p>
    <w:p>
      <w:pPr>
        <w:jc w:val="center"/>
      </w:pPr>
      <w:r>
        <w:rPr>
          <w:color w:val="595959"/>
          <w:sz w:val="21"/>
          <w:szCs w:val="21"/>
        </w:rPr>
        <w:t xml:space="preserve">The Workman Experience, LLC d/b/a Workman Experience Technologies</w:t>
      </w:r>
    </w:p>
    <w:p>
      <w:pPr>
        <w:jc w:val="center"/>
      </w:pPr>
      <w:r>
        <w:rPr>
          <w:color w:val="595959"/>
          <w:sz w:val="19"/>
          <w:szCs w:val="19"/>
        </w:rPr>
        <w:t xml:space="preserve">Texas State ID 804929409 · Formed July 21, 2026</w:t>
      </w:r>
    </w:p>
    <w:p>
      <w:pPr>
        <w:spacing w:before="200"/>
        <w:jc w:val="center"/>
      </w:pPr>
      <w:r>
        <w:rPr>
          <w:i/>
          <w:iCs/>
          <w:color w:val="595959"/>
          <w:sz w:val="18"/>
          <w:szCs w:val="18"/>
        </w:rPr>
        <w:t xml:space="preserve">Classification: Internal Governance Record — statuses marked BUILT are production-verified; all other statuses are declared design.</w:t>
      </w:r>
    </w:p>
    <w:p>
      <w:r>
        <w:br w:type="page"/>
      </w:r>
    </w:p>
    <w:p>
      <w:pPr>
        <w:pStyle w:val="Heading1"/>
        <w:spacing w:after="160" w:before="360"/>
      </w:pPr>
      <w:r>
        <w:rPr>
          <w:b/>
          <w:bCs/>
          <w:color w:val="1A1A1A"/>
        </w:rPr>
        <w:t xml:space="preserve">1. Identity and Scope</w:t>
      </w:r>
    </w:p>
    <w:p>
      <w:pPr>
        <w:spacing w:after="120"/>
      </w:pPr>
      <w:r>
        <w:rPr>
          <w:color w:val="1A1A1A"/>
          <w:sz w:val="21"/>
          <w:szCs w:val="21"/>
        </w:rPr>
        <w:t xml:space="preserve">The W.E. Creative Intelligence Platform is a local-first, deterministic media production intelligence system. It ingests camera originals, preserves verifiable custody, enforces brand and rights governance in code, measures its own production performance, and converts operational evidence into institutional standards.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c>
          <w:tcPr>
            <w:tcW w:type="dxa" w:w="2600"/>
            <w:shd w:fill="1A1A1A" w:val="clear"/>
            <w:tcMar>
              <w:top w:type="dxa" w:w="60"/>
              <w:left w:type="dxa" w:w="100"/>
              <w:bottom w:type="dxa" w:w="60"/>
              <w:right w:type="dxa" w:w="100"/>
            </w:tcMar>
          </w:tcPr>
          <w:p>
            <w:r>
              <w:rPr>
                <w:b/>
                <w:bCs/>
                <w:color w:val="FFFFFF"/>
                <w:sz w:val="19"/>
                <w:szCs w:val="19"/>
              </w:rPr>
              <w:t xml:space="preserve">Attribute</w:t>
            </w:r>
          </w:p>
        </w:tc>
        <w:tc>
          <w:tcPr>
            <w:tcW w:type="dxa" w:w="7100"/>
            <w:shd w:fill="1A1A1A" w:val="clear"/>
            <w:tcMar>
              <w:top w:type="dxa" w:w="60"/>
              <w:left w:type="dxa" w:w="100"/>
              <w:bottom w:type="dxa" w:w="60"/>
              <w:right w:type="dxa" w:w="100"/>
            </w:tcMar>
          </w:tcPr>
          <w:p>
            <w:r>
              <w:rPr>
                <w:b/>
                <w:bCs/>
                <w:color w:val="FFFFFF"/>
                <w:sz w:val="19"/>
                <w:szCs w:val="19"/>
              </w:rPr>
              <w:t xml:space="preserve">Specification</w:t>
            </w:r>
          </w:p>
        </w:tc>
      </w:tr>
      <w:tr>
        <w:tc>
          <w:tcPr>
            <w:tcW w:type="dxa" w:w="2600"/>
            <w:tcMar>
              <w:top w:type="dxa" w:w="60"/>
              <w:left w:type="dxa" w:w="100"/>
              <w:bottom w:type="dxa" w:w="60"/>
              <w:right w:type="dxa" w:w="100"/>
            </w:tcMar>
          </w:tcPr>
          <w:p>
            <w:r>
              <w:rPr>
                <w:sz w:val="19"/>
                <w:szCs w:val="19"/>
              </w:rPr>
              <w:t xml:space="preserve">Legal entity</w:t>
            </w:r>
          </w:p>
        </w:tc>
        <w:tc>
          <w:tcPr>
            <w:tcW w:type="dxa" w:w="7100"/>
            <w:tcMar>
              <w:top w:type="dxa" w:w="60"/>
              <w:left w:type="dxa" w:w="100"/>
              <w:bottom w:type="dxa" w:w="60"/>
              <w:right w:type="dxa" w:w="100"/>
            </w:tcMar>
          </w:tcPr>
          <w:p>
            <w:r>
              <w:rPr>
                <w:sz w:val="19"/>
                <w:szCs w:val="19"/>
              </w:rPr>
              <w:t xml:space="preserve">The Workman Experience, LLC d/b/a Workman Experience Technologies (TX 804929409)</w:t>
            </w:r>
          </w:p>
        </w:tc>
      </w:tr>
      <w:tr>
        <w:tc>
          <w:tcPr>
            <w:tcW w:type="dxa" w:w="2600"/>
            <w:tcMar>
              <w:top w:type="dxa" w:w="60"/>
              <w:left w:type="dxa" w:w="100"/>
              <w:bottom w:type="dxa" w:w="60"/>
              <w:right w:type="dxa" w:w="100"/>
            </w:tcMar>
          </w:tcPr>
          <w:p>
            <w:r>
              <w:rPr>
                <w:sz w:val="19"/>
                <w:szCs w:val="19"/>
              </w:rPr>
              <w:t xml:space="preserve">Tenancy model</w:t>
            </w:r>
          </w:p>
        </w:tc>
        <w:tc>
          <w:tcPr>
            <w:tcW w:type="dxa" w:w="7100"/>
            <w:tcMar>
              <w:top w:type="dxa" w:w="60"/>
              <w:left w:type="dxa" w:w="100"/>
              <w:bottom w:type="dxa" w:w="60"/>
              <w:right w:type="dxa" w:w="100"/>
            </w:tcMar>
          </w:tcPr>
          <w:p>
            <w:r>
              <w:rPr>
                <w:sz w:val="19"/>
                <w:szCs w:val="19"/>
              </w:rPr>
              <w:t xml:space="preserve">Multi-tenant by design; TWE is Tenant #1 via brand_profiles/twe.yaml</w:t>
            </w:r>
          </w:p>
        </w:tc>
      </w:tr>
      <w:tr>
        <w:tc>
          <w:tcPr>
            <w:tcW w:type="dxa" w:w="2600"/>
            <w:tcMar>
              <w:top w:type="dxa" w:w="60"/>
              <w:left w:type="dxa" w:w="100"/>
              <w:bottom w:type="dxa" w:w="60"/>
              <w:right w:type="dxa" w:w="100"/>
            </w:tcMar>
          </w:tcPr>
          <w:p>
            <w:r>
              <w:rPr>
                <w:sz w:val="19"/>
                <w:szCs w:val="19"/>
              </w:rPr>
              <w:t xml:space="preserve">Deployment</w:t>
            </w:r>
          </w:p>
        </w:tc>
        <w:tc>
          <w:tcPr>
            <w:tcW w:type="dxa" w:w="7100"/>
            <w:tcMar>
              <w:top w:type="dxa" w:w="60"/>
              <w:left w:type="dxa" w:w="100"/>
              <w:bottom w:type="dxa" w:w="60"/>
              <w:right w:type="dxa" w:w="100"/>
            </w:tcMar>
          </w:tcPr>
          <w:p>
            <w:r>
              <w:rPr>
                <w:sz w:val="19"/>
                <w:szCs w:val="19"/>
              </w:rPr>
              <w:t xml:space="preserve">Local-first: Mac Studio (Apple Silicon), NVMe working volume + HDD archive volume</w:t>
            </w:r>
          </w:p>
        </w:tc>
      </w:tr>
      <w:tr>
        <w:tc>
          <w:tcPr>
            <w:tcW w:type="dxa" w:w="2600"/>
            <w:tcMar>
              <w:top w:type="dxa" w:w="60"/>
              <w:left w:type="dxa" w:w="100"/>
              <w:bottom w:type="dxa" w:w="60"/>
              <w:right w:type="dxa" w:w="100"/>
            </w:tcMar>
          </w:tcPr>
          <w:p>
            <w:r>
              <w:rPr>
                <w:sz w:val="19"/>
                <w:szCs w:val="19"/>
              </w:rPr>
              <w:t xml:space="preserve">Repository</w:t>
            </w:r>
          </w:p>
        </w:tc>
        <w:tc>
          <w:tcPr>
            <w:tcW w:type="dxa" w:w="7100"/>
            <w:tcMar>
              <w:top w:type="dxa" w:w="60"/>
              <w:left w:type="dxa" w:w="100"/>
              <w:bottom w:type="dxa" w:w="60"/>
              <w:right w:type="dxa" w:w="100"/>
            </w:tcMar>
          </w:tcPr>
          <w:p>
            <w:r>
              <w:rPr>
                <w:sz w:val="19"/>
                <w:szCs w:val="19"/>
              </w:rPr>
              <w:t xml:space="preserve">~/Curser/we-cape (GitHub: theworkmanexperience-sketch/Curser)</w:t>
            </w:r>
          </w:p>
        </w:tc>
      </w:tr>
      <w:tr>
        <w:tc>
          <w:tcPr>
            <w:tcW w:type="dxa" w:w="2600"/>
            <w:tcMar>
              <w:top w:type="dxa" w:w="60"/>
              <w:left w:type="dxa" w:w="100"/>
              <w:bottom w:type="dxa" w:w="60"/>
              <w:right w:type="dxa" w:w="100"/>
            </w:tcMar>
          </w:tcPr>
          <w:p>
            <w:r>
              <w:rPr>
                <w:sz w:val="19"/>
                <w:szCs w:val="19"/>
              </w:rPr>
              <w:t xml:space="preserve">Test posture</w:t>
            </w:r>
          </w:p>
        </w:tc>
        <w:tc>
          <w:tcPr>
            <w:tcW w:type="dxa" w:w="7100"/>
            <w:tcMar>
              <w:top w:type="dxa" w:w="60"/>
              <w:left w:type="dxa" w:w="100"/>
              <w:bottom w:type="dxa" w:w="60"/>
              <w:right w:type="dxa" w:w="100"/>
            </w:tcMar>
          </w:tcPr>
          <w:p>
            <w:r>
              <w:rPr>
                <w:sz w:val="19"/>
                <w:szCs w:val="19"/>
              </w:rPr>
              <w:t xml:space="preserve">404/404 automated tests; fully synthetic fixtures (no media dependency)</w:t>
            </w:r>
          </w:p>
        </w:tc>
      </w:tr>
      <w:tr>
        <w:tc>
          <w:tcPr>
            <w:tcW w:type="dxa" w:w="2600"/>
            <w:tcMar>
              <w:top w:type="dxa" w:w="60"/>
              <w:left w:type="dxa" w:w="100"/>
              <w:bottom w:type="dxa" w:w="60"/>
              <w:right w:type="dxa" w:w="100"/>
            </w:tcMar>
          </w:tcPr>
          <w:p>
            <w:r>
              <w:rPr>
                <w:sz w:val="19"/>
                <w:szCs w:val="19"/>
              </w:rPr>
              <w:t xml:space="preserve">Validation production</w:t>
            </w:r>
          </w:p>
        </w:tc>
        <w:tc>
          <w:tcPr>
            <w:tcW w:type="dxa" w:w="7100"/>
            <w:tcMar>
              <w:top w:type="dxa" w:w="60"/>
              <w:left w:type="dxa" w:w="100"/>
              <w:bottom w:type="dxa" w:w="60"/>
              <w:right w:type="dxa" w:w="100"/>
            </w:tcMar>
          </w:tcPr>
          <w:p>
            <w:r>
              <w:rPr>
                <w:sz w:val="19"/>
                <w:szCs w:val="19"/>
              </w:rPr>
              <w:t xml:space="preserve">AlphaRoundUp 2026 — 4 cameras, 168 sources, ~990 GB, end-to-end</w:t>
            </w:r>
          </w:p>
        </w:tc>
      </w:tr>
    </w:tbl>
    <w:p>
      <w:pPr>
        <w:spacing w:after="120"/>
      </w:pPr>
    </w:p>
    <w:p>
      <w:pPr>
        <w:pStyle w:val="Heading1"/>
        <w:spacing w:after="160" w:before="360"/>
      </w:pPr>
      <w:r>
        <w:rPr>
          <w:b/>
          <w:bCs/>
          <w:color w:val="1A1A1A"/>
        </w:rPr>
        <w:t xml:space="preserve">2. Architecture of Record</w:t>
      </w:r>
    </w:p>
    <w:p>
      <w:pPr>
        <w:spacing w:after="120"/>
      </w:pPr>
      <w:r>
        <w:rPr>
          <w:color w:val="1A1A1A"/>
          <w:sz w:val="21"/>
          <w:szCs w:val="21"/>
        </w:rPr>
        <w:t xml:space="preserve">ADR-001 (RATIFIED) separates the platform into two complementary domains. Runtime executes production; governance ratifies standards. They intersect through standards, policy, and engineering discipline — never through hierarchy.</w:t>
      </w:r>
    </w:p>
    <w:p>
      <w:pPr>
        <w:spacing w:after="40"/>
        <w:ind w:left="360"/>
      </w:pPr>
      <w:r>
        <w:rPr>
          <w:rFonts w:ascii="Courier New" w:cs="Courier New" w:eastAsia="Courier New" w:hAnsi="Courier New"/>
          <w:color w:val="1A1A1A"/>
          <w:sz w:val="18"/>
          <w:szCs w:val="18"/>
        </w:rPr>
        <w:t xml:space="preserve">RUNTIME DOMAIN                       GOVERNANCE DOMAIN</w:t>
      </w:r>
    </w:p>
    <w:p>
      <w:pPr>
        <w:spacing w:after="40"/>
        <w:ind w:left="360"/>
      </w:pPr>
      <w:r>
        <w:rPr>
          <w:rFonts w:ascii="Courier New" w:cs="Courier New" w:eastAsia="Courier New" w:hAnsi="Courier New"/>
          <w:color w:val="1A1A1A"/>
          <w:sz w:val="18"/>
          <w:szCs w:val="18"/>
        </w:rPr>
        <w:t xml:space="preserve">W.E. C.A.P.E.  ──── findings ──────▶  W.E.I.C.P.</w:t>
      </w:r>
    </w:p>
    <w:p>
      <w:pPr>
        <w:spacing w:after="40"/>
        <w:ind w:left="360"/>
      </w:pPr>
      <w:r>
        <w:rPr>
          <w:rFonts w:ascii="Courier New" w:cs="Courier New" w:eastAsia="Courier New" w:hAnsi="Courier New"/>
          <w:color w:val="1A1A1A"/>
          <w:sz w:val="18"/>
          <w:szCs w:val="18"/>
        </w:rPr>
        <w:t xml:space="preserve">  Capture · Archive · Pulse ·          ADRs · Standards · Policy ·</w:t>
      </w:r>
    </w:p>
    <w:p>
      <w:pPr>
        <w:spacing w:after="40"/>
        <w:ind w:left="360"/>
      </w:pPr>
      <w:r>
        <w:rPr>
          <w:rFonts w:ascii="Courier New" w:cs="Courier New" w:eastAsia="Courier New" w:hAnsi="Courier New"/>
          <w:color w:val="1A1A1A"/>
          <w:sz w:val="18"/>
          <w:szCs w:val="18"/>
        </w:rPr>
        <w:t xml:space="preserve">  Evaluate                             Institutional knowledge</w:t>
      </w:r>
    </w:p>
    <w:p>
      <w:pPr>
        <w:spacing w:after="40"/>
        <w:ind w:left="360"/>
      </w:pPr>
      <w:r>
        <w:rPr>
          <w:rFonts w:ascii="Courier New" w:cs="Courier New" w:eastAsia="Courier New" w:hAnsi="Courier New"/>
          <w:color w:val="1A1A1A"/>
          <w:sz w:val="18"/>
          <w:szCs w:val="18"/>
        </w:rPr>
        <w:t xml:space="preserve">W.E. PROGRESSIONS  ◀── standards ──   (realized through governed</w:t>
      </w:r>
    </w:p>
    <w:p>
      <w:pPr>
        <w:spacing w:after="40"/>
        <w:ind w:left="360"/>
      </w:pPr>
      <w:r>
        <w:rPr>
          <w:rFonts w:ascii="Courier New" w:cs="Courier New" w:eastAsia="Courier New" w:hAnsi="Courier New"/>
          <w:color w:val="1A1A1A"/>
          <w:sz w:val="18"/>
          <w:szCs w:val="18"/>
        </w:rPr>
        <w:t xml:space="preserve">  Publication layer                    artifacts, not storage)</w:t>
      </w:r>
    </w:p>
    <w:p>
      <w:pPr>
        <w:spacing w:after="120"/>
      </w:pPr>
    </w:p>
    <w:p>
      <w:pPr>
        <w:spacing w:after="120"/>
      </w:pPr>
      <w:r>
        <w:rPr>
          <w:color w:val="1A1A1A"/>
          <w:sz w:val="21"/>
          <w:szCs w:val="21"/>
        </w:rPr>
        <w:t xml:space="preserve">Operating model (ratified): Policy → Code → Test → Evidence → Evaluate → Ratify → Standard.</w:t>
      </w:r>
    </w:p>
    <w:p>
      <w:pPr>
        <w:spacing w:after="120"/>
        <w:rPr>
          <w:b/>
          <w:bCs/>
        </w:rPr>
      </w:pPr>
      <w:r>
        <w:rPr>
          <w:b/>
          <w:bCs/>
          <w:color w:val="1A1A1A"/>
          <w:sz w:val="21"/>
          <w:szCs w:val="21"/>
        </w:rPr>
        <w:t xml:space="preserve">Governing principle: EVALUATE measures. W.E.I.C.P. ratifies.</w:t>
      </w:r>
    </w:p>
    <w:p>
      <w:pPr>
        <w:pStyle w:val="Heading1"/>
        <w:spacing w:after="160" w:before="360"/>
      </w:pPr>
      <w:r>
        <w:rPr>
          <w:b/>
          <w:bCs/>
          <w:color w:val="1A1A1A"/>
        </w:rPr>
        <w:t xml:space="preserve">3. Runtime Modules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4700"/>
        <w:gridCol w:w="2500"/>
      </w:tblGrid>
      <w:tr>
        <w:tc>
          <w:tcPr>
            <w:tcW w:type="dxa" w:w="2500"/>
            <w:shd w:fill="1A1A1A" w:val="clear"/>
            <w:tcMar>
              <w:top w:type="dxa" w:w="60"/>
              <w:left w:type="dxa" w:w="100"/>
              <w:bottom w:type="dxa" w:w="60"/>
              <w:right w:type="dxa" w:w="100"/>
            </w:tcMar>
          </w:tcPr>
          <w:p>
            <w:r>
              <w:rPr>
                <w:b/>
                <w:bCs/>
                <w:color w:val="FFFFFF"/>
                <w:sz w:val="19"/>
                <w:szCs w:val="19"/>
              </w:rPr>
              <w:t xml:space="preserve">Module</w:t>
            </w:r>
          </w:p>
        </w:tc>
        <w:tc>
          <w:tcPr>
            <w:tcW w:type="dxa" w:w="4700"/>
            <w:shd w:fill="1A1A1A" w:val="clear"/>
            <w:tcMar>
              <w:top w:type="dxa" w:w="60"/>
              <w:left w:type="dxa" w:w="100"/>
              <w:bottom w:type="dxa" w:w="60"/>
              <w:right w:type="dxa" w:w="100"/>
            </w:tcMar>
          </w:tcPr>
          <w:p>
            <w:r>
              <w:rPr>
                <w:b/>
                <w:bCs/>
                <w:color w:val="FFFFFF"/>
                <w:sz w:val="19"/>
                <w:szCs w:val="19"/>
              </w:rPr>
              <w:t xml:space="preserve">Function</w:t>
            </w:r>
          </w:p>
        </w:tc>
        <w:tc>
          <w:tcPr>
            <w:tcW w:type="dxa" w:w="2500"/>
            <w:shd w:fill="1A1A1A" w:val="clear"/>
            <w:tcMar>
              <w:top w:type="dxa" w:w="60"/>
              <w:left w:type="dxa" w:w="100"/>
              <w:bottom w:type="dxa" w:w="60"/>
              <w:right w:type="dxa" w:w="100"/>
            </w:tcMar>
          </w:tcPr>
          <w:p>
            <w:r>
              <w:rPr>
                <w:b/>
                <w:bCs/>
                <w:color w:val="FFFFFF"/>
                <w:sz w:val="19"/>
                <w:szCs w:val="19"/>
              </w:rPr>
              <w:t xml:space="preserve">Status</w:t>
            </w:r>
          </w:p>
        </w:tc>
      </w:tr>
      <w:tr>
        <w:tc>
          <w:tcPr>
            <w:tcW w:type="dxa" w:w="2500"/>
            <w:tcMar>
              <w:top w:type="dxa" w:w="60"/>
              <w:left w:type="dxa" w:w="100"/>
              <w:bottom w:type="dxa" w:w="60"/>
              <w:right w:type="dxa" w:w="100"/>
            </w:tcMar>
          </w:tcPr>
          <w:p>
            <w:r>
              <w:rPr>
                <w:sz w:val="19"/>
                <w:szCs w:val="19"/>
              </w:rPr>
              <w:t xml:space="preserve">CAPTURE</w:t>
            </w:r>
          </w:p>
        </w:tc>
        <w:tc>
          <w:tcPr>
            <w:tcW w:type="dxa" w:w="4700"/>
            <w:tcMar>
              <w:top w:type="dxa" w:w="60"/>
              <w:left w:type="dxa" w:w="100"/>
              <w:bottom w:type="dxa" w:w="60"/>
              <w:right w:type="dxa" w:w="100"/>
            </w:tcMar>
          </w:tcPr>
          <w:p>
            <w:r>
              <w:rPr>
                <w:sz w:val="19"/>
                <w:szCs w:val="19"/>
              </w:rPr>
              <w:t xml:space="preserve">Deterministic ingestion: ingest → classify → group → variant → output → proxy → audit (7 stages)</w:t>
            </w:r>
          </w:p>
        </w:tc>
        <w:tc>
          <w:tcPr>
            <w:tcW w:type="dxa" w:w="2500"/>
            <w:tcMar>
              <w:top w:type="dxa" w:w="60"/>
              <w:left w:type="dxa" w:w="100"/>
              <w:bottom w:type="dxa" w:w="60"/>
              <w:right w:type="dxa" w:w="100"/>
            </w:tcMar>
          </w:tcPr>
          <w:p>
            <w:r>
              <w:rPr>
                <w:sz w:val="19"/>
                <w:szCs w:val="19"/>
              </w:rPr>
              <w:t xml:space="preserve">BUILT — production-verified</w:t>
            </w:r>
          </w:p>
        </w:tc>
      </w:tr>
      <w:tr>
        <w:tc>
          <w:tcPr>
            <w:tcW w:type="dxa" w:w="2500"/>
            <w:tcMar>
              <w:top w:type="dxa" w:w="60"/>
              <w:left w:type="dxa" w:w="100"/>
              <w:bottom w:type="dxa" w:w="60"/>
              <w:right w:type="dxa" w:w="100"/>
            </w:tcMar>
          </w:tcPr>
          <w:p>
            <w:r>
              <w:rPr>
                <w:sz w:val="19"/>
                <w:szCs w:val="19"/>
              </w:rPr>
              <w:t xml:space="preserve">Offload (scripts/offload_cards.py)</w:t>
            </w:r>
          </w:p>
        </w:tc>
        <w:tc>
          <w:tcPr>
            <w:tcW w:type="dxa" w:w="4700"/>
            <w:tcMar>
              <w:top w:type="dxa" w:w="60"/>
              <w:left w:type="dxa" w:w="100"/>
              <w:bottom w:type="dxa" w:w="60"/>
              <w:right w:type="dxa" w:w="100"/>
            </w:tcMar>
          </w:tcPr>
          <w:p>
            <w:r>
              <w:rPr>
                <w:sz w:val="19"/>
                <w:szCs w:val="19"/>
              </w:rPr>
              <w:t xml:space="preserve">Hash-verified dual-destination card offload; resume logic; shoot.yaml manifest authoring; trusted-clock declaration</w:t>
            </w:r>
          </w:p>
        </w:tc>
        <w:tc>
          <w:tcPr>
            <w:tcW w:type="dxa" w:w="2500"/>
            <w:tcMar>
              <w:top w:type="dxa" w:w="60"/>
              <w:left w:type="dxa" w:w="100"/>
              <w:bottom w:type="dxa" w:w="60"/>
              <w:right w:type="dxa" w:w="100"/>
            </w:tcMar>
          </w:tcPr>
          <w:p>
            <w:r>
              <w:rPr>
                <w:sz w:val="19"/>
                <w:szCs w:val="19"/>
              </w:rPr>
              <w:t xml:space="preserve">BUILT — 5 offloads, MISMATCH 0</w:t>
            </w:r>
          </w:p>
        </w:tc>
      </w:tr>
      <w:tr>
        <w:tc>
          <w:tcPr>
            <w:tcW w:type="dxa" w:w="2500"/>
            <w:tcMar>
              <w:top w:type="dxa" w:w="60"/>
              <w:left w:type="dxa" w:w="100"/>
              <w:bottom w:type="dxa" w:w="60"/>
              <w:right w:type="dxa" w:w="100"/>
            </w:tcMar>
          </w:tcPr>
          <w:p>
            <w:r>
              <w:rPr>
                <w:sz w:val="19"/>
                <w:szCs w:val="19"/>
              </w:rPr>
              <w:t xml:space="preserve">Compositor (wecape/progressions/compositor.py)</w:t>
            </w:r>
          </w:p>
        </w:tc>
        <w:tc>
          <w:tcPr>
            <w:tcW w:type="dxa" w:w="4700"/>
            <w:tcMar>
              <w:top w:type="dxa" w:w="60"/>
              <w:left w:type="dxa" w:w="100"/>
              <w:bottom w:type="dxa" w:w="60"/>
              <w:right w:type="dxa" w:w="100"/>
            </w:tcMar>
          </w:tcPr>
          <w:p>
            <w:r>
              <w:rPr>
                <w:sz w:val="19"/>
                <w:szCs w:val="19"/>
              </w:rPr>
              <w:t xml:space="preserve">SHA-gated brand header placement under a four-rule refusal contract</w:t>
            </w:r>
          </w:p>
        </w:tc>
        <w:tc>
          <w:tcPr>
            <w:tcW w:type="dxa" w:w="2500"/>
            <w:tcMar>
              <w:top w:type="dxa" w:w="60"/>
              <w:left w:type="dxa" w:w="100"/>
              <w:bottom w:type="dxa" w:w="60"/>
              <w:right w:type="dxa" w:w="100"/>
            </w:tcMar>
          </w:tcPr>
          <w:p>
            <w:r>
              <w:rPr>
                <w:sz w:val="19"/>
                <w:szCs w:val="19"/>
              </w:rPr>
              <w:t xml:space="preserve">BUILT — 5-case regression suite</w:t>
            </w:r>
          </w:p>
        </w:tc>
      </w:tr>
      <w:tr>
        <w:tc>
          <w:tcPr>
            <w:tcW w:type="dxa" w:w="2500"/>
            <w:tcMar>
              <w:top w:type="dxa" w:w="60"/>
              <w:left w:type="dxa" w:w="100"/>
              <w:bottom w:type="dxa" w:w="60"/>
              <w:right w:type="dxa" w:w="100"/>
            </w:tcMar>
          </w:tcPr>
          <w:p>
            <w:r>
              <w:rPr>
                <w:sz w:val="19"/>
                <w:szCs w:val="19"/>
              </w:rPr>
              <w:t xml:space="preserve">Health Report (scripts/health_report.py)</w:t>
            </w:r>
          </w:p>
        </w:tc>
        <w:tc>
          <w:tcPr>
            <w:tcW w:type="dxa" w:w="4700"/>
            <w:tcMar>
              <w:top w:type="dxa" w:w="60"/>
              <w:left w:type="dxa" w:w="100"/>
              <w:bottom w:type="dxa" w:w="60"/>
              <w:right w:type="dxa" w:w="100"/>
            </w:tcMar>
          </w:tcPr>
          <w:p>
            <w:r>
              <w:rPr>
                <w:sz w:val="19"/>
                <w:szCs w:val="19"/>
              </w:rPr>
              <w:t xml:space="preserve">Post-run clock/grouping audit against trusted-clock anchor</w:t>
            </w:r>
          </w:p>
        </w:tc>
        <w:tc>
          <w:tcPr>
            <w:tcW w:type="dxa" w:w="2500"/>
            <w:tcMar>
              <w:top w:type="dxa" w:w="60"/>
              <w:left w:type="dxa" w:w="100"/>
              <w:bottom w:type="dxa" w:w="60"/>
              <w:right w:type="dxa" w:w="100"/>
            </w:tcMar>
          </w:tcPr>
          <w:p>
            <w:r>
              <w:rPr>
                <w:sz w:val="19"/>
                <w:szCs w:val="19"/>
              </w:rPr>
              <w:t xml:space="preserve">BUILT</w:t>
            </w:r>
          </w:p>
        </w:tc>
      </w:tr>
      <w:tr>
        <w:tc>
          <w:tcPr>
            <w:tcW w:type="dxa" w:w="2500"/>
            <w:tcMar>
              <w:top w:type="dxa" w:w="60"/>
              <w:left w:type="dxa" w:w="100"/>
              <w:bottom w:type="dxa" w:w="60"/>
              <w:right w:type="dxa" w:w="100"/>
            </w:tcMar>
          </w:tcPr>
          <w:p>
            <w:r>
              <w:rPr>
                <w:sz w:val="19"/>
                <w:szCs w:val="19"/>
              </w:rPr>
              <w:t xml:space="preserve">Output-Inside-Input Guard</w:t>
            </w:r>
          </w:p>
        </w:tc>
        <w:tc>
          <w:tcPr>
            <w:tcW w:type="dxa" w:w="4700"/>
            <w:tcMar>
              <w:top w:type="dxa" w:w="60"/>
              <w:left w:type="dxa" w:w="100"/>
              <w:bottom w:type="dxa" w:w="60"/>
              <w:right w:type="dxa" w:w="100"/>
            </w:tcMar>
          </w:tcPr>
          <w:p>
            <w:r>
              <w:rPr>
                <w:sz w:val="19"/>
                <w:szCs w:val="19"/>
              </w:rPr>
              <w:t xml:space="preserve">Preflight refusal when output nests within input (contamination class)</w:t>
            </w:r>
          </w:p>
        </w:tc>
        <w:tc>
          <w:tcPr>
            <w:tcW w:type="dxa" w:w="2500"/>
            <w:tcMar>
              <w:top w:type="dxa" w:w="60"/>
              <w:left w:type="dxa" w:w="100"/>
              <w:bottom w:type="dxa" w:w="60"/>
              <w:right w:type="dxa" w:w="100"/>
            </w:tcMar>
          </w:tcPr>
          <w:p>
            <w:r>
              <w:rPr>
                <w:sz w:val="19"/>
                <w:szCs w:val="19"/>
              </w:rPr>
              <w:t xml:space="preserve">BUILT — 4 guard tests</w:t>
            </w:r>
          </w:p>
        </w:tc>
      </w:tr>
      <w:tr>
        <w:tc>
          <w:tcPr>
            <w:tcW w:type="dxa" w:w="2500"/>
            <w:tcMar>
              <w:top w:type="dxa" w:w="60"/>
              <w:left w:type="dxa" w:w="100"/>
              <w:bottom w:type="dxa" w:w="60"/>
              <w:right w:type="dxa" w:w="100"/>
            </w:tcMar>
          </w:tcPr>
          <w:p>
            <w:r>
              <w:rPr>
                <w:sz w:val="19"/>
                <w:szCs w:val="19"/>
              </w:rPr>
              <w:t xml:space="preserve">Orchestrator (new_shoot)</w:t>
            </w:r>
          </w:p>
        </w:tc>
        <w:tc>
          <w:tcPr>
            <w:tcW w:type="dxa" w:w="4700"/>
            <w:tcMar>
              <w:top w:type="dxa" w:w="60"/>
              <w:left w:type="dxa" w:w="100"/>
              <w:bottom w:type="dxa" w:w="60"/>
              <w:right w:type="dxa" w:w="100"/>
            </w:tcMar>
          </w:tcPr>
          <w:p>
            <w:r>
              <w:rPr>
                <w:sz w:val="19"/>
                <w:szCs w:val="19"/>
              </w:rPr>
              <w:t xml:space="preserve">Headless offload→CAPTURE→export→FCP chaining, card detection</w:t>
            </w:r>
          </w:p>
        </w:tc>
        <w:tc>
          <w:tcPr>
            <w:tcW w:type="dxa" w:w="2500"/>
            <w:tcMar>
              <w:top w:type="dxa" w:w="60"/>
              <w:left w:type="dxa" w:w="100"/>
              <w:bottom w:type="dxa" w:w="60"/>
              <w:right w:type="dxa" w:w="100"/>
            </w:tcMar>
          </w:tcPr>
          <w:p>
            <w:r>
              <w:rPr>
                <w:sz w:val="19"/>
                <w:szCs w:val="19"/>
              </w:rPr>
              <w:t xml:space="preserve">BUILT, not yet exercised</w:t>
            </w:r>
          </w:p>
        </w:tc>
      </w:tr>
      <w:tr>
        <w:tc>
          <w:tcPr>
            <w:tcW w:type="dxa" w:w="2500"/>
            <w:tcMar>
              <w:top w:type="dxa" w:w="60"/>
              <w:left w:type="dxa" w:w="100"/>
              <w:bottom w:type="dxa" w:w="60"/>
              <w:right w:type="dxa" w:w="100"/>
            </w:tcMar>
          </w:tcPr>
          <w:p>
            <w:r>
              <w:rPr>
                <w:sz w:val="19"/>
                <w:szCs w:val="19"/>
              </w:rPr>
              <w:t xml:space="preserve">ARCHIVE</w:t>
            </w:r>
          </w:p>
        </w:tc>
        <w:tc>
          <w:tcPr>
            <w:tcW w:type="dxa" w:w="4700"/>
            <w:tcMar>
              <w:top w:type="dxa" w:w="60"/>
              <w:left w:type="dxa" w:w="100"/>
              <w:bottom w:type="dxa" w:w="60"/>
              <w:right w:type="dxa" w:w="100"/>
            </w:tcMar>
          </w:tcPr>
          <w:p>
            <w:r>
              <w:rPr>
                <w:sz w:val="19"/>
                <w:szCs w:val="19"/>
              </w:rPr>
              <w:t xml:space="preserve">Retention automation, cold-storage policy</w:t>
            </w:r>
          </w:p>
        </w:tc>
        <w:tc>
          <w:tcPr>
            <w:tcW w:type="dxa" w:w="2500"/>
            <w:tcMar>
              <w:top w:type="dxa" w:w="60"/>
              <w:left w:type="dxa" w:w="100"/>
              <w:bottom w:type="dxa" w:w="60"/>
              <w:right w:type="dxa" w:w="100"/>
            </w:tcMar>
          </w:tcPr>
          <w:p>
            <w:r>
              <w:rPr>
                <w:sz w:val="19"/>
                <w:szCs w:val="19"/>
              </w:rPr>
              <w:t xml:space="preserve">ACTIVE DESIGN — definition-of-done pending</w:t>
            </w:r>
          </w:p>
        </w:tc>
      </w:tr>
      <w:tr>
        <w:tc>
          <w:tcPr>
            <w:tcW w:type="dxa" w:w="2500"/>
            <w:tcMar>
              <w:top w:type="dxa" w:w="60"/>
              <w:left w:type="dxa" w:w="100"/>
              <w:bottom w:type="dxa" w:w="60"/>
              <w:right w:type="dxa" w:w="100"/>
            </w:tcMar>
          </w:tcPr>
          <w:p>
            <w:r>
              <w:rPr>
                <w:sz w:val="19"/>
                <w:szCs w:val="19"/>
              </w:rPr>
              <w:t xml:space="preserve">PULSE</w:t>
            </w:r>
          </w:p>
        </w:tc>
        <w:tc>
          <w:tcPr>
            <w:tcW w:type="dxa" w:w="4700"/>
            <w:tcMar>
              <w:top w:type="dxa" w:w="60"/>
              <w:left w:type="dxa" w:w="100"/>
              <w:bottom w:type="dxa" w:w="60"/>
              <w:right w:type="dxa" w:w="100"/>
            </w:tcMar>
          </w:tcPr>
          <w:p>
            <w:r>
              <w:rPr>
                <w:sz w:val="19"/>
                <w:szCs w:val="19"/>
              </w:rPr>
              <w:t xml:space="preserve">Operational monitoring</w:t>
            </w:r>
          </w:p>
        </w:tc>
        <w:tc>
          <w:tcPr>
            <w:tcW w:type="dxa" w:w="2500"/>
            <w:tcMar>
              <w:top w:type="dxa" w:w="60"/>
              <w:left w:type="dxa" w:w="100"/>
              <w:bottom w:type="dxa" w:w="60"/>
              <w:right w:type="dxa" w:w="100"/>
            </w:tcMar>
          </w:tcPr>
          <w:p>
            <w:r>
              <w:rPr>
                <w:sz w:val="19"/>
                <w:szCs w:val="19"/>
              </w:rPr>
              <w:t xml:space="preserve">ACTIVE DESIGN — definition-of-done pending</w:t>
            </w:r>
          </w:p>
        </w:tc>
      </w:tr>
      <w:tr>
        <w:tc>
          <w:tcPr>
            <w:tcW w:type="dxa" w:w="2500"/>
            <w:tcMar>
              <w:top w:type="dxa" w:w="60"/>
              <w:left w:type="dxa" w:w="100"/>
              <w:bottom w:type="dxa" w:w="60"/>
              <w:right w:type="dxa" w:w="100"/>
            </w:tcMar>
          </w:tcPr>
          <w:p>
            <w:r>
              <w:rPr>
                <w:sz w:val="19"/>
                <w:szCs w:val="19"/>
              </w:rPr>
              <w:t xml:space="preserve">EVALUATE</w:t>
            </w:r>
          </w:p>
        </w:tc>
        <w:tc>
          <w:tcPr>
            <w:tcW w:type="dxa" w:w="4700"/>
            <w:tcMar>
              <w:top w:type="dxa" w:w="60"/>
              <w:left w:type="dxa" w:w="100"/>
              <w:bottom w:type="dxa" w:w="60"/>
              <w:right w:type="dxa" w:w="100"/>
            </w:tcMar>
          </w:tcPr>
          <w:p>
            <w:r>
              <w:rPr>
                <w:sz w:val="19"/>
                <w:szCs w:val="19"/>
              </w:rPr>
              <w:t xml:space="preserve">Production measurement and findings emission</w:t>
            </w:r>
          </w:p>
        </w:tc>
        <w:tc>
          <w:tcPr>
            <w:tcW w:type="dxa" w:w="2500"/>
            <w:tcMar>
              <w:top w:type="dxa" w:w="60"/>
              <w:left w:type="dxa" w:w="100"/>
              <w:bottom w:type="dxa" w:w="60"/>
              <w:right w:type="dxa" w:w="100"/>
            </w:tcMar>
          </w:tcPr>
          <w:p>
            <w:r>
              <w:rPr>
                <w:sz w:val="19"/>
                <w:szCs w:val="19"/>
              </w:rPr>
              <w:t xml:space="preserve">ACTIVE DESIGN — first instruments live (Section 6)</w:t>
            </w:r>
          </w:p>
        </w:tc>
      </w:tr>
    </w:tbl>
    <w:p>
      <w:pPr>
        <w:spacing w:after="120"/>
      </w:pPr>
    </w:p>
    <w:p>
      <w:pPr>
        <w:pStyle w:val="Heading1"/>
        <w:spacing w:after="160" w:before="360"/>
      </w:pPr>
      <w:r>
        <w:rPr>
          <w:b/>
          <w:bCs/>
          <w:color w:val="1A1A1A"/>
        </w:rPr>
        <w:t xml:space="preserve">4. Data Model</w:t>
      </w:r>
    </w:p>
    <w:p>
      <w:pPr>
        <w:pStyle w:val="Heading2"/>
        <w:spacing w:after="120" w:before="280"/>
      </w:pPr>
      <w:r>
        <w:rPr>
          <w:b/>
          <w:bCs/>
          <w:color w:val="C75B12"/>
        </w:rPr>
        <w:t xml:space="preserve">4.1 Registry</w:t>
      </w:r>
    </w:p>
    <w:p>
      <w:pPr>
        <w:spacing w:after="120"/>
      </w:pPr>
      <w:r>
        <w:rPr>
          <w:color w:val="1A1A1A"/>
          <w:sz w:val="21"/>
          <w:szCs w:val="21"/>
        </w:rPr>
        <w:t xml:space="preserve">Append-only SQLite store (~/.wecape/registry/wecape.db): content SHA-256 per file, run records, proxy state. Anomalous runs are documented and excluded from analytics — never deleted.</w:t>
      </w:r>
    </w:p>
    <w:p>
      <w:pPr>
        <w:pStyle w:val="Heading2"/>
        <w:spacing w:after="120" w:before="280"/>
      </w:pPr>
      <w:r>
        <w:rPr>
          <w:b/>
          <w:bCs/>
          <w:color w:val="C75B12"/>
        </w:rPr>
        <w:t xml:space="preserve">4.2 Shoot Manifest (shoot.yaml, dual-mirrored)</w:t>
      </w:r>
    </w:p>
    <w:p>
      <w:pPr>
        <w:spacing w:after="120"/>
      </w:pPr>
      <w:r>
        <w:rPr>
          <w:color w:val="1A1A1A"/>
          <w:sz w:val="21"/>
          <w:szCs w:val="21"/>
        </w:rPr>
        <w:t xml:space="preserve">One YAML per shoot, written to both volumes. Registered block classes as exercised on AlphaRoundUp 2026:</w:t>
      </w:r>
    </w:p>
    <w:p>
      <w:pPr>
        <w:spacing w:after="40"/>
        <w:ind w:left="360"/>
      </w:pPr>
      <w:r>
        <w:rPr>
          <w:rFonts w:ascii="Courier New" w:cs="Courier New" w:eastAsia="Courier New" w:hAnsi="Courier New"/>
          <w:color w:val="1A1A1A"/>
          <w:sz w:val="18"/>
          <w:szCs w:val="18"/>
        </w:rPr>
        <w:t xml:space="preserve">cameras · date_corrections · integrity_notes · contributed_media(+update)</w:t>
      </w:r>
    </w:p>
    <w:p>
      <w:pPr>
        <w:spacing w:after="40"/>
        <w:ind w:left="360"/>
      </w:pPr>
      <w:r>
        <w:rPr>
          <w:rFonts w:ascii="Courier New" w:cs="Courier New" w:eastAsia="Courier New" w:hAnsi="Courier New"/>
          <w:color w:val="1A1A1A"/>
          <w:sz w:val="18"/>
          <w:szCs w:val="18"/>
        </w:rPr>
        <w:t xml:space="preserve">criterion2_baseline · studio_session_1 · gps_correction · telemetry_sources</w:t>
      </w:r>
    </w:p>
    <w:p>
      <w:pPr>
        <w:spacing w:after="40"/>
        <w:ind w:left="360"/>
      </w:pPr>
      <w:r>
        <w:rPr>
          <w:rFonts w:ascii="Courier New" w:cs="Courier New" w:eastAsia="Courier New" w:hAnsi="Courier New"/>
          <w:color w:val="1A1A1A"/>
          <w:sz w:val="18"/>
          <w:szCs w:val="18"/>
        </w:rPr>
        <w:t xml:space="preserve">telemetry_overlays · edit_phase · deliverable_series · music_rights ·</w:t>
      </w:r>
    </w:p>
    <w:p>
      <w:pPr>
        <w:spacing w:after="40"/>
        <w:ind w:left="360"/>
      </w:pPr>
      <w:r>
        <w:rPr>
          <w:rFonts w:ascii="Courier New" w:cs="Courier New" w:eastAsia="Courier New" w:hAnsi="Courier New"/>
          <w:color w:val="1A1A1A"/>
          <w:sz w:val="18"/>
          <w:szCs w:val="18"/>
        </w:rPr>
        <w:t xml:space="preserve">gate1_clearances</w:t>
      </w:r>
    </w:p>
    <w:p>
      <w:pPr>
        <w:spacing w:after="120"/>
      </w:pPr>
    </w:p>
    <w:p>
      <w:pPr>
        <w:pStyle w:val="Heading2"/>
        <w:spacing w:after="120" w:before="280"/>
      </w:pPr>
      <w:r>
        <w:rPr>
          <w:b/>
          <w:bCs/>
          <w:color w:val="C75B12"/>
        </w:rPr>
        <w:t xml:space="preserve">4.3 Lineage Records</w:t>
      </w:r>
    </w:p>
    <w:p>
      <w:pPr>
        <w:spacing w:after="120"/>
      </w:pPr>
      <w:r>
        <w:rPr>
          <w:color w:val="1A1A1A"/>
          <w:sz w:val="21"/>
          <w:szCs w:val="21"/>
        </w:rPr>
        <w:t xml:space="preserve">LINEAGE_&lt;source&gt;_curation.yaml carries operator-stated editorial meaning per export family; derivations_&lt;source&gt;.json carries stem-match verification (parent→child→grandchild). AlphaRoundUp X5: 139/139 exports accounted, 52/63 parents used.</w:t>
      </w:r>
    </w:p>
    <w:p>
      <w:pPr>
        <w:pStyle w:val="Heading2"/>
        <w:spacing w:after="120" w:before="280"/>
      </w:pPr>
      <w:r>
        <w:rPr>
          <w:b/>
          <w:bCs/>
          <w:color w:val="C75B12"/>
        </w:rPr>
        <w:t xml:space="preserve">4.4 Telemetry Provenance (ADR-003, PROPOSED)</w:t>
      </w:r>
    </w:p>
    <w:p>
      <w:pPr>
        <w:spacing w:after="120"/>
      </w:pPr>
      <w:r>
        <w:rPr>
          <w:color w:val="1A1A1A"/>
          <w:sz w:val="21"/>
          <w:szCs w:val="21"/>
        </w:rPr>
        <w:t xml:space="preserve">Every telemetry value carries one classification — OBSERVED, DERIVED, INTERPOLATED, or ENRICHED — with confidence bands (HIGH ≥0.90, MODERATE ≥0.70, LOW ≥0.50, UNUSABLE below). Derived values are never presented as recorded sensor data; on-screen estimates are labeled.</w:t>
      </w:r>
    </w:p>
    <w:p>
      <w:pPr>
        <w:pStyle w:val="Heading1"/>
        <w:spacing w:after="160" w:before="360"/>
      </w:pPr>
      <w:r>
        <w:rPr>
          <w:b/>
          <w:bCs/>
          <w:color w:val="1A1A1A"/>
        </w:rPr>
        <w:t xml:space="preserve">5. Enforcement Contracts</w:t>
      </w:r>
    </w:p>
    <w:p>
      <w:pPr>
        <w:pStyle w:val="Heading2"/>
        <w:spacing w:after="120" w:before="280"/>
      </w:pPr>
      <w:r>
        <w:rPr>
          <w:b/>
          <w:bCs/>
          <w:color w:val="C75B12"/>
        </w:rPr>
        <w:t xml:space="preserve">5.1 Header Integrity (four-rule refusal contract)</w:t>
      </w:r>
    </w:p>
    <w:p>
      <w:pPr>
        <w:pStyle w:val="ListParagraph"/>
        <w:numPr>
          <w:ilvl w:val="0"/>
          <w:numId w:val="2"/>
        </w:numPr>
        <w:spacing w:after="60"/>
      </w:pPr>
      <w:r>
        <w:rPr>
          <w:sz w:val="21"/>
          <w:szCs w:val="21"/>
        </w:rPr>
        <w:t xml:space="preserve">Verify the official header asset against its recorded SHA-256.</w:t>
      </w:r>
    </w:p>
    <w:p>
      <w:pPr>
        <w:pStyle w:val="ListParagraph"/>
        <w:numPr>
          <w:ilvl w:val="0"/>
          <w:numId w:val="2"/>
        </w:numPr>
        <w:spacing w:after="60"/>
      </w:pPr>
      <w:r>
        <w:rPr>
          <w:sz w:val="21"/>
          <w:szCs w:val="21"/>
        </w:rPr>
        <w:t xml:space="preserve">Proceed only on an exact hash match.</w:t>
      </w:r>
    </w:p>
    <w:p>
      <w:pPr>
        <w:pStyle w:val="ListParagraph"/>
        <w:numPr>
          <w:ilvl w:val="0"/>
          <w:numId w:val="2"/>
        </w:numPr>
        <w:spacing w:after="60"/>
      </w:pPr>
      <w:r>
        <w:rPr>
          <w:sz w:val="21"/>
          <w:szCs w:val="21"/>
        </w:rPr>
        <w:t xml:space="preserve">Abort immediately on any mismatch (HeaderIntegrityError, fail-closed).</w:t>
      </w:r>
    </w:p>
    <w:p>
      <w:pPr>
        <w:pStyle w:val="ListParagraph"/>
        <w:numPr>
          <w:ilvl w:val="0"/>
          <w:numId w:val="2"/>
        </w:numPr>
        <w:spacing w:after="60"/>
      </w:pPr>
      <w:r>
        <w:rPr>
          <w:sz w:val="21"/>
          <w:szCs w:val="21"/>
        </w:rPr>
        <w:t xml:space="preserve">Never substitute, regenerate, or repair — no fallback code path exists.</w:t>
      </w:r>
    </w:p>
    <w:p>
      <w:pPr>
        <w:spacing w:after="120"/>
      </w:pPr>
      <w:r>
        <w:rPr>
          <w:color w:val="1A1A1A"/>
          <w:sz w:val="21"/>
          <w:szCs w:val="21"/>
        </w:rPr>
        <w:t xml:space="preserve">Supplementary: native-dimension lock (no scaling) and unregistered-brand refusal. Header custody chain: governed standards document → documented extraction → recorded SHA c8fb182e… → repository custody → runtime verification.</w:t>
      </w:r>
    </w:p>
    <w:p>
      <w:pPr>
        <w:pStyle w:val="Heading2"/>
        <w:spacing w:after="120" w:before="280"/>
      </w:pPr>
      <w:r>
        <w:rPr>
          <w:b/>
          <w:bCs/>
          <w:color w:val="C75B12"/>
        </w:rPr>
        <w:t xml:space="preserve">5.2 Approval Gates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00"/>
        <w:gridCol w:w="4700"/>
        <w:gridCol w:w="2900"/>
      </w:tblGrid>
      <w:tr>
        <w:tc>
          <w:tcPr>
            <w:tcW w:type="dxa" w:w="2100"/>
            <w:shd w:fill="1A1A1A" w:val="clear"/>
            <w:tcMar>
              <w:top w:type="dxa" w:w="60"/>
              <w:left w:type="dxa" w:w="100"/>
              <w:bottom w:type="dxa" w:w="60"/>
              <w:right w:type="dxa" w:w="100"/>
            </w:tcMar>
          </w:tcPr>
          <w:p>
            <w:r>
              <w:rPr>
                <w:b/>
                <w:bCs/>
                <w:color w:val="FFFFFF"/>
                <w:sz w:val="19"/>
                <w:szCs w:val="19"/>
              </w:rPr>
              <w:t xml:space="preserve">Gate</w:t>
            </w:r>
          </w:p>
        </w:tc>
        <w:tc>
          <w:tcPr>
            <w:tcW w:type="dxa" w:w="4700"/>
            <w:shd w:fill="1A1A1A" w:val="clear"/>
            <w:tcMar>
              <w:top w:type="dxa" w:w="60"/>
              <w:left w:type="dxa" w:w="100"/>
              <w:bottom w:type="dxa" w:w="60"/>
              <w:right w:type="dxa" w:w="100"/>
            </w:tcMar>
          </w:tcPr>
          <w:p>
            <w:r>
              <w:rPr>
                <w:b/>
                <w:bCs/>
                <w:color w:val="FFFFFF"/>
                <w:sz w:val="19"/>
                <w:szCs w:val="19"/>
              </w:rPr>
              <w:t xml:space="preserve">Enforces</w:t>
            </w:r>
          </w:p>
        </w:tc>
        <w:tc>
          <w:tcPr>
            <w:tcW w:type="dxa" w:w="2900"/>
            <w:shd w:fill="1A1A1A" w:val="clear"/>
            <w:tcMar>
              <w:top w:type="dxa" w:w="60"/>
              <w:left w:type="dxa" w:w="100"/>
              <w:bottom w:type="dxa" w:w="60"/>
              <w:right w:type="dxa" w:w="100"/>
            </w:tcMar>
          </w:tcPr>
          <w:p>
            <w:r>
              <w:rPr>
                <w:b/>
                <w:bCs/>
                <w:color w:val="FFFFFF"/>
                <w:sz w:val="19"/>
                <w:szCs w:val="19"/>
              </w:rPr>
              <w:t xml:space="preserve">Status</w:t>
            </w:r>
          </w:p>
        </w:tc>
      </w:tr>
      <w:tr>
        <w:tc>
          <w:tcPr>
            <w:tcW w:type="dxa" w:w="2100"/>
            <w:tcMar>
              <w:top w:type="dxa" w:w="60"/>
              <w:left w:type="dxa" w:w="100"/>
              <w:bottom w:type="dxa" w:w="60"/>
              <w:right w:type="dxa" w:w="100"/>
            </w:tcMar>
          </w:tcPr>
          <w:p>
            <w:r>
              <w:rPr>
                <w:sz w:val="19"/>
                <w:szCs w:val="19"/>
              </w:rPr>
              <w:t xml:space="preserve">Gate 1 — Rights</w:t>
            </w:r>
          </w:p>
        </w:tc>
        <w:tc>
          <w:tcPr>
            <w:tcW w:type="dxa" w:w="4700"/>
            <w:tcMar>
              <w:top w:type="dxa" w:w="60"/>
              <w:left w:type="dxa" w:w="100"/>
              <w:bottom w:type="dxa" w:w="60"/>
              <w:right w:type="dxa" w:w="100"/>
            </w:tcMar>
          </w:tcPr>
          <w:p>
            <w:r>
              <w:rPr>
                <w:sz w:val="19"/>
                <w:szCs w:val="19"/>
              </w:rPr>
              <w:t xml:space="preserve">No third-party contributed media reaches publication without recorded, scoped consent</w:t>
            </w:r>
          </w:p>
        </w:tc>
        <w:tc>
          <w:tcPr>
            <w:tcW w:type="dxa" w:w="2900"/>
            <w:tcMar>
              <w:top w:type="dxa" w:w="60"/>
              <w:left w:type="dxa" w:w="100"/>
              <w:bottom w:type="dxa" w:w="60"/>
              <w:right w:type="dxa" w:w="100"/>
            </w:tcMar>
          </w:tcPr>
          <w:p>
            <w:r>
              <w:rPr>
                <w:sz w:val="19"/>
                <w:szCs w:val="19"/>
              </w:rPr>
              <w:t xml:space="preserve">EXERCISED — FCPXML audit caught one timeline violation; cleared via scoped contributor grant, filed</w:t>
            </w:r>
          </w:p>
        </w:tc>
      </w:tr>
      <w:tr>
        <w:tc>
          <w:tcPr>
            <w:tcW w:type="dxa" w:w="2100"/>
            <w:tcMar>
              <w:top w:type="dxa" w:w="60"/>
              <w:left w:type="dxa" w:w="100"/>
              <w:bottom w:type="dxa" w:w="60"/>
              <w:right w:type="dxa" w:w="100"/>
            </w:tcMar>
          </w:tcPr>
          <w:p>
            <w:r>
              <w:rPr>
                <w:sz w:val="19"/>
                <w:szCs w:val="19"/>
              </w:rPr>
              <w:t xml:space="preserve">Gate 2 — Claims</w:t>
            </w:r>
          </w:p>
        </w:tc>
        <w:tc>
          <w:tcPr>
            <w:tcW w:type="dxa" w:w="4700"/>
            <w:tcMar>
              <w:top w:type="dxa" w:w="60"/>
              <w:left w:type="dxa" w:w="100"/>
              <w:bottom w:type="dxa" w:w="60"/>
              <w:right w:type="dxa" w:w="100"/>
            </w:tcMar>
          </w:tcPr>
          <w:p>
            <w:r>
              <w:rPr>
                <w:sz w:val="19"/>
                <w:szCs w:val="19"/>
              </w:rPr>
              <w:t xml:space="preserve">Factual claims in narration/graphics receive a verification pass pre-publish</w:t>
            </w:r>
          </w:p>
        </w:tc>
        <w:tc>
          <w:tcPr>
            <w:tcW w:type="dxa" w:w="2900"/>
            <w:tcMar>
              <w:top w:type="dxa" w:w="60"/>
              <w:left w:type="dxa" w:w="100"/>
              <w:bottom w:type="dxa" w:w="60"/>
              <w:right w:type="dxa" w:w="100"/>
            </w:tcMar>
          </w:tcPr>
          <w:p>
            <w:r>
              <w:rPr>
                <w:sz w:val="19"/>
                <w:szCs w:val="19"/>
              </w:rPr>
              <w:t xml:space="preserve">ARMED</w:t>
            </w:r>
          </w:p>
        </w:tc>
      </w:tr>
      <w:tr>
        <w:tc>
          <w:tcPr>
            <w:tcW w:type="dxa" w:w="2100"/>
            <w:tcMar>
              <w:top w:type="dxa" w:w="60"/>
              <w:left w:type="dxa" w:w="100"/>
              <w:bottom w:type="dxa" w:w="60"/>
              <w:right w:type="dxa" w:w="100"/>
            </w:tcMar>
          </w:tcPr>
          <w:p>
            <w:r>
              <w:rPr>
                <w:sz w:val="19"/>
                <w:szCs w:val="19"/>
              </w:rPr>
              <w:t xml:space="preserve">Gate 3 — Publication</w:t>
            </w:r>
          </w:p>
        </w:tc>
        <w:tc>
          <w:tcPr>
            <w:tcW w:type="dxa" w:w="4700"/>
            <w:tcMar>
              <w:top w:type="dxa" w:w="60"/>
              <w:left w:type="dxa" w:w="100"/>
              <w:bottom w:type="dxa" w:w="60"/>
              <w:right w:type="dxa" w:w="100"/>
            </w:tcMar>
          </w:tcPr>
          <w:p>
            <w:r>
              <w:rPr>
                <w:sz w:val="19"/>
                <w:szCs w:val="19"/>
              </w:rPr>
              <w:t xml:space="preserve">Explicit publication approval; starts retention clocks</w:t>
            </w:r>
          </w:p>
        </w:tc>
        <w:tc>
          <w:tcPr>
            <w:tcW w:type="dxa" w:w="2900"/>
            <w:tcMar>
              <w:top w:type="dxa" w:w="60"/>
              <w:left w:type="dxa" w:w="100"/>
              <w:bottom w:type="dxa" w:w="60"/>
              <w:right w:type="dxa" w:w="100"/>
            </w:tcMar>
          </w:tcPr>
          <w:p>
            <w:r>
              <w:rPr>
                <w:sz w:val="19"/>
                <w:szCs w:val="19"/>
              </w:rPr>
              <w:t xml:space="preserve">ARMED</w:t>
            </w:r>
          </w:p>
        </w:tc>
      </w:tr>
    </w:tbl>
    <w:p>
      <w:pPr>
        <w:spacing w:after="120"/>
      </w:pPr>
    </w:p>
    <w:p>
      <w:pPr>
        <w:pStyle w:val="Heading2"/>
        <w:spacing w:after="120" w:before="280"/>
      </w:pPr>
      <w:r>
        <w:rPr>
          <w:b/>
          <w:bCs/>
          <w:color w:val="C75B12"/>
        </w:rPr>
        <w:t xml:space="preserve">5.3 Verification Rules (standing)</w:t>
      </w:r>
    </w:p>
    <w:p>
      <w:pPr>
        <w:pStyle w:val="ListParagraph"/>
        <w:numPr>
          <w:ilvl w:val="0"/>
          <w:numId w:val="2"/>
        </w:numPr>
        <w:spacing w:after="60"/>
      </w:pPr>
      <w:r>
        <w:rPr>
          <w:sz w:val="21"/>
          <w:szCs w:val="21"/>
        </w:rPr>
        <w:t xml:space="preserve">Camera identity from file metadata, never card labels (probe-before-label).</w:t>
      </w:r>
    </w:p>
    <w:p>
      <w:pPr>
        <w:pStyle w:val="ListParagraph"/>
        <w:numPr>
          <w:ilvl w:val="0"/>
          <w:numId w:val="2"/>
        </w:numPr>
        <w:spacing w:after="60"/>
      </w:pPr>
      <w:r>
        <w:rPr>
          <w:sz w:val="21"/>
          <w:szCs w:val="21"/>
        </w:rPr>
        <w:t xml:space="preserve">Dry-run before any bulk copy; hash verification on every destination.</w:t>
      </w:r>
    </w:p>
    <w:p>
      <w:pPr>
        <w:pStyle w:val="ListParagraph"/>
        <w:numPr>
          <w:ilvl w:val="0"/>
          <w:numId w:val="2"/>
        </w:numPr>
        <w:spacing w:after="60"/>
      </w:pPr>
      <w:r>
        <w:rPr>
          <w:sz w:val="21"/>
          <w:szCs w:val="21"/>
        </w:rPr>
        <w:t xml:space="preserve">Deletion requires proof: count match + spot-hash pairs + subset proof; folder names are never trusted.</w:t>
      </w:r>
    </w:p>
    <w:p>
      <w:pPr>
        <w:pStyle w:val="ListParagraph"/>
        <w:numPr>
          <w:ilvl w:val="0"/>
          <w:numId w:val="2"/>
        </w:numPr>
        <w:spacing w:after="60"/>
      </w:pPr>
      <w:r>
        <w:rPr>
          <w:sz w:val="21"/>
          <w:szCs w:val="21"/>
        </w:rPr>
        <w:t xml:space="preserve">Originals retained until distribution + 12 months; no sole-copy deletion, ever.</w:t>
      </w:r>
    </w:p>
    <w:p>
      <w:pPr>
        <w:pStyle w:val="Heading1"/>
        <w:spacing w:after="160" w:before="360"/>
      </w:pPr>
      <w:r>
        <w:rPr>
          <w:b/>
          <w:bCs/>
          <w:color w:val="1A1A1A"/>
        </w:rPr>
        <w:t xml:space="preserve">6. Measurement Instruments (EVALUATE, live)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400"/>
      </w:tblGrid>
      <w:tr>
        <w:tc>
          <w:tcPr>
            <w:tcW w:type="dxa" w:w="2500"/>
            <w:shd w:fill="1A1A1A" w:val="clear"/>
            <w:tcMar>
              <w:top w:type="dxa" w:w="60"/>
              <w:left w:type="dxa" w:w="100"/>
              <w:bottom w:type="dxa" w:w="60"/>
              <w:right w:type="dxa" w:w="100"/>
            </w:tcMar>
          </w:tcPr>
          <w:p>
            <w:r>
              <w:rPr>
                <w:b/>
                <w:bCs/>
                <w:color w:val="FFFFFF"/>
                <w:sz w:val="19"/>
                <w:szCs w:val="19"/>
              </w:rPr>
              <w:t xml:space="preserve">Instrument</w:t>
            </w:r>
          </w:p>
        </w:tc>
        <w:tc>
          <w:tcPr>
            <w:tcW w:type="dxa" w:w="3800"/>
            <w:shd w:fill="1A1A1A" w:val="clear"/>
            <w:tcMar>
              <w:top w:type="dxa" w:w="60"/>
              <w:left w:type="dxa" w:w="100"/>
              <w:bottom w:type="dxa" w:w="60"/>
              <w:right w:type="dxa" w:w="100"/>
            </w:tcMar>
          </w:tcPr>
          <w:p>
            <w:r>
              <w:rPr>
                <w:b/>
                <w:bCs/>
                <w:color w:val="FFFFFF"/>
                <w:sz w:val="19"/>
                <w:szCs w:val="19"/>
              </w:rPr>
              <w:t xml:space="preserve">Method</w:t>
            </w:r>
          </w:p>
        </w:tc>
        <w:tc>
          <w:tcPr>
            <w:tcW w:type="dxa" w:w="3400"/>
            <w:shd w:fill="1A1A1A" w:val="clear"/>
            <w:tcMar>
              <w:top w:type="dxa" w:w="60"/>
              <w:left w:type="dxa" w:w="100"/>
              <w:bottom w:type="dxa" w:w="60"/>
              <w:right w:type="dxa" w:w="100"/>
            </w:tcMar>
          </w:tcPr>
          <w:p>
            <w:r>
              <w:rPr>
                <w:b/>
                <w:bCs/>
                <w:color w:val="FFFFFF"/>
                <w:sz w:val="19"/>
                <w:szCs w:val="19"/>
              </w:rPr>
              <w:t xml:space="preserve">Current Reading</w:t>
            </w:r>
          </w:p>
        </w:tc>
      </w:tr>
      <w:tr>
        <w:tc>
          <w:tcPr>
            <w:tcW w:type="dxa" w:w="2500"/>
            <w:tcMar>
              <w:top w:type="dxa" w:w="60"/>
              <w:left w:type="dxa" w:w="100"/>
              <w:bottom w:type="dxa" w:w="60"/>
              <w:right w:type="dxa" w:w="100"/>
            </w:tcMar>
          </w:tcPr>
          <w:p>
            <w:r>
              <w:rPr>
                <w:sz w:val="19"/>
                <w:szCs w:val="19"/>
              </w:rPr>
              <w:t xml:space="preserve">Criterion-2 baseline</w:t>
            </w:r>
          </w:p>
        </w:tc>
        <w:tc>
          <w:tcPr>
            <w:tcW w:type="dxa" w:w="3800"/>
            <w:tcMar>
              <w:top w:type="dxa" w:w="60"/>
              <w:left w:type="dxa" w:w="100"/>
              <w:bottom w:type="dxa" w:w="60"/>
              <w:right w:type="dxa" w:w="100"/>
            </w:tcMar>
          </w:tcPr>
          <w:p>
            <w:r>
              <w:rPr>
                <w:sz w:val="19"/>
                <w:szCs w:val="19"/>
              </w:rPr>
              <w:t xml:space="preserve">Evidence-based manual-workflow denominator (CapCut draft lineage)</w:t>
            </w:r>
          </w:p>
        </w:tc>
        <w:tc>
          <w:tcPr>
            <w:tcW w:type="dxa" w:w="3400"/>
            <w:tcMar>
              <w:top w:type="dxa" w:w="60"/>
              <w:left w:type="dxa" w:w="100"/>
              <w:bottom w:type="dxa" w:w="60"/>
              <w:right w:type="dxa" w:w="100"/>
            </w:tcMar>
          </w:tcPr>
          <w:p>
            <w:r>
              <w:rPr>
                <w:sz w:val="19"/>
                <w:szCs w:val="19"/>
              </w:rPr>
              <w:t xml:space="preserve">RWP = 64 hrs (55–75, medium confidence)</w:t>
            </w:r>
          </w:p>
        </w:tc>
      </w:tr>
      <w:tr>
        <w:tc>
          <w:tcPr>
            <w:tcW w:type="dxa" w:w="2500"/>
            <w:tcMar>
              <w:top w:type="dxa" w:w="60"/>
              <w:left w:type="dxa" w:w="100"/>
              <w:bottom w:type="dxa" w:w="60"/>
              <w:right w:type="dxa" w:w="100"/>
            </w:tcMar>
          </w:tcPr>
          <w:p>
            <w:r>
              <w:rPr>
                <w:sz w:val="19"/>
                <w:szCs w:val="19"/>
              </w:rPr>
              <w:t xml:space="preserve">Production clock</w:t>
            </w:r>
          </w:p>
        </w:tc>
        <w:tc>
          <w:tcPr>
            <w:tcW w:type="dxa" w:w="3800"/>
            <w:tcMar>
              <w:top w:type="dxa" w:w="60"/>
              <w:left w:type="dxa" w:w="100"/>
              <w:bottom w:type="dxa" w:w="60"/>
              <w:right w:type="dxa" w:w="100"/>
            </w:tcMar>
          </w:tcPr>
          <w:p>
            <w:r>
              <w:rPr>
                <w:sz w:val="19"/>
                <w:szCs w:val="19"/>
              </w:rPr>
              <w:t xml:space="preserve">NLE draft mtimes + session log (same evidence class as baseline)</w:t>
            </w:r>
          </w:p>
        </w:tc>
        <w:tc>
          <w:tcPr>
            <w:tcW w:type="dxa" w:w="3400"/>
            <w:tcMar>
              <w:top w:type="dxa" w:w="60"/>
              <w:left w:type="dxa" w:w="100"/>
              <w:bottom w:type="dxa" w:w="60"/>
              <w:right w:type="dxa" w:w="100"/>
            </w:tcMar>
          </w:tcPr>
          <w:p>
            <w:r>
              <w:rPr>
                <w:sz w:val="19"/>
                <w:szCs w:val="19"/>
              </w:rPr>
              <w:t xml:space="preserve">Curation 38 + edit 12 = 50 hrs</w:t>
            </w:r>
          </w:p>
        </w:tc>
      </w:tr>
      <w:tr>
        <w:tc>
          <w:tcPr>
            <w:tcW w:type="dxa" w:w="2500"/>
            <w:tcMar>
              <w:top w:type="dxa" w:w="60"/>
              <w:left w:type="dxa" w:w="100"/>
              <w:bottom w:type="dxa" w:w="60"/>
              <w:right w:type="dxa" w:w="100"/>
            </w:tcMar>
          </w:tcPr>
          <w:p>
            <w:r>
              <w:rPr>
                <w:sz w:val="19"/>
                <w:szCs w:val="19"/>
              </w:rPr>
              <w:t xml:space="preserve">Utilization</w:t>
            </w:r>
          </w:p>
        </w:tc>
        <w:tc>
          <w:tcPr>
            <w:tcW w:type="dxa" w:w="3800"/>
            <w:tcMar>
              <w:top w:type="dxa" w:w="60"/>
              <w:left w:type="dxa" w:w="100"/>
              <w:bottom w:type="dxa" w:w="60"/>
              <w:right w:type="dxa" w:w="100"/>
            </w:tcMar>
          </w:tcPr>
          <w:p>
            <w:r>
              <w:rPr>
                <w:sz w:val="19"/>
                <w:szCs w:val="19"/>
              </w:rPr>
              <w:t xml:space="preserve">FCPXML export parsed against derivation records</w:t>
            </w:r>
          </w:p>
        </w:tc>
        <w:tc>
          <w:tcPr>
            <w:tcW w:type="dxa" w:w="3400"/>
            <w:tcMar>
              <w:top w:type="dxa" w:w="60"/>
              <w:left w:type="dxa" w:w="100"/>
              <w:bottom w:type="dxa" w:w="60"/>
              <w:right w:type="dxa" w:w="100"/>
            </w:tcMar>
          </w:tcPr>
          <w:p>
            <w:r>
              <w:rPr>
                <w:sz w:val="19"/>
                <w:szCs w:val="19"/>
              </w:rPr>
              <w:t xml:space="preserve">Part 1: X5 1.9% (20:17 of 17.5h); per-parent ranking live</w:t>
            </w:r>
          </w:p>
        </w:tc>
      </w:tr>
      <w:tr>
        <w:tc>
          <w:tcPr>
            <w:tcW w:type="dxa" w:w="2500"/>
            <w:tcMar>
              <w:top w:type="dxa" w:w="60"/>
              <w:left w:type="dxa" w:w="100"/>
              <w:bottom w:type="dxa" w:w="60"/>
              <w:right w:type="dxa" w:w="100"/>
            </w:tcMar>
          </w:tcPr>
          <w:p>
            <w:r>
              <w:rPr>
                <w:sz w:val="19"/>
                <w:szCs w:val="19"/>
              </w:rPr>
              <w:t xml:space="preserve">Intake yield</w:t>
            </w:r>
          </w:p>
        </w:tc>
        <w:tc>
          <w:tcPr>
            <w:tcW w:type="dxa" w:w="3800"/>
            <w:tcMar>
              <w:top w:type="dxa" w:w="60"/>
              <w:left w:type="dxa" w:w="100"/>
              <w:bottom w:type="dxa" w:w="60"/>
              <w:right w:type="dxa" w:w="100"/>
            </w:tcMar>
          </w:tcPr>
          <w:p>
            <w:r>
              <w:rPr>
                <w:sz w:val="19"/>
                <w:szCs w:val="19"/>
              </w:rPr>
              <w:t xml:space="preserve">Proxy success over eligible sources</w:t>
            </w:r>
          </w:p>
        </w:tc>
        <w:tc>
          <w:tcPr>
            <w:tcW w:type="dxa" w:w="3400"/>
            <w:tcMar>
              <w:top w:type="dxa" w:w="60"/>
              <w:left w:type="dxa" w:w="100"/>
              <w:bottom w:type="dxa" w:w="60"/>
              <w:right w:type="dxa" w:w="100"/>
            </w:tcMar>
          </w:tcPr>
          <w:p>
            <w:r>
              <w:rPr>
                <w:sz w:val="19"/>
                <w:szCs w:val="19"/>
              </w:rPr>
              <w:t xml:space="preserve">150/151 (99.3%), loss documented w/ recovery path</w:t>
            </w:r>
          </w:p>
        </w:tc>
      </w:tr>
      <w:tr>
        <w:tc>
          <w:tcPr>
            <w:tcW w:type="dxa" w:w="2500"/>
            <w:tcMar>
              <w:top w:type="dxa" w:w="60"/>
              <w:left w:type="dxa" w:w="100"/>
              <w:bottom w:type="dxa" w:w="60"/>
              <w:right w:type="dxa" w:w="100"/>
            </w:tcMar>
          </w:tcPr>
          <w:p>
            <w:r>
              <w:rPr>
                <w:sz w:val="19"/>
                <w:szCs w:val="19"/>
              </w:rPr>
              <w:t xml:space="preserve">Custody integrity</w:t>
            </w:r>
          </w:p>
        </w:tc>
        <w:tc>
          <w:tcPr>
            <w:tcW w:type="dxa" w:w="3800"/>
            <w:tcMar>
              <w:top w:type="dxa" w:w="60"/>
              <w:left w:type="dxa" w:w="100"/>
              <w:bottom w:type="dxa" w:w="60"/>
              <w:right w:type="dxa" w:w="100"/>
            </w:tcMar>
          </w:tcPr>
          <w:p>
            <w:r>
              <w:rPr>
                <w:sz w:val="19"/>
                <w:szCs w:val="19"/>
              </w:rPr>
              <w:t xml:space="preserve">Per-file SHA verification at offload</w:t>
            </w:r>
          </w:p>
        </w:tc>
        <w:tc>
          <w:tcPr>
            <w:tcW w:type="dxa" w:w="3400"/>
            <w:tcMar>
              <w:top w:type="dxa" w:w="60"/>
              <w:left w:type="dxa" w:w="100"/>
              <w:bottom w:type="dxa" w:w="60"/>
              <w:right w:type="dxa" w:w="100"/>
            </w:tcMar>
          </w:tcPr>
          <w:p>
            <w:r>
              <w:rPr>
                <w:sz w:val="19"/>
                <w:szCs w:val="19"/>
              </w:rPr>
              <w:t xml:space="preserve">5 offloads, MISMATCH 0</w:t>
            </w:r>
          </w:p>
        </w:tc>
      </w:tr>
    </w:tbl>
    <w:p>
      <w:pPr>
        <w:spacing w:after="120"/>
      </w:pPr>
    </w:p>
    <w:p>
      <w:pPr>
        <w:pStyle w:val="Heading1"/>
        <w:spacing w:after="160" w:before="360"/>
      </w:pPr>
      <w:r>
        <w:rPr>
          <w:b/>
          <w:bCs/>
          <w:color w:val="1A1A1A"/>
        </w:rPr>
        <w:t xml:space="preserve">7. Governance Domain (W.E.I.C.P.)</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200"/>
        <w:gridCol w:w="3500"/>
      </w:tblGrid>
      <w:tr>
        <w:tc>
          <w:tcPr>
            <w:tcW w:type="dxa" w:w="6200"/>
            <w:shd w:fill="1A1A1A" w:val="clear"/>
            <w:tcMar>
              <w:top w:type="dxa" w:w="60"/>
              <w:left w:type="dxa" w:w="100"/>
              <w:bottom w:type="dxa" w:w="60"/>
              <w:right w:type="dxa" w:w="100"/>
            </w:tcMar>
          </w:tcPr>
          <w:p>
            <w:r>
              <w:rPr>
                <w:b/>
                <w:bCs/>
                <w:color w:val="FFFFFF"/>
                <w:sz w:val="19"/>
                <w:szCs w:val="19"/>
              </w:rPr>
              <w:t xml:space="preserve">Artifact</w:t>
            </w:r>
          </w:p>
        </w:tc>
        <w:tc>
          <w:tcPr>
            <w:tcW w:type="dxa" w:w="3500"/>
            <w:shd w:fill="1A1A1A" w:val="clear"/>
            <w:tcMar>
              <w:top w:type="dxa" w:w="60"/>
              <w:left w:type="dxa" w:w="100"/>
              <w:bottom w:type="dxa" w:w="60"/>
              <w:right w:type="dxa" w:w="100"/>
            </w:tcMar>
          </w:tcPr>
          <w:p>
            <w:r>
              <w:rPr>
                <w:b/>
                <w:bCs/>
                <w:color w:val="FFFFFF"/>
                <w:sz w:val="19"/>
                <w:szCs w:val="19"/>
              </w:rPr>
              <w:t xml:space="preserve">Status</w:t>
            </w:r>
          </w:p>
        </w:tc>
      </w:tr>
      <w:tr>
        <w:tc>
          <w:tcPr>
            <w:tcW w:type="dxa" w:w="6200"/>
            <w:tcMar>
              <w:top w:type="dxa" w:w="60"/>
              <w:left w:type="dxa" w:w="100"/>
              <w:bottom w:type="dxa" w:w="60"/>
              <w:right w:type="dxa" w:w="100"/>
            </w:tcMar>
          </w:tcPr>
          <w:p>
            <w:r>
              <w:rPr>
                <w:sz w:val="19"/>
                <w:szCs w:val="19"/>
              </w:rPr>
              <w:t xml:space="preserve">ADR-001 Runtime/Governance Domains</w:t>
            </w:r>
          </w:p>
        </w:tc>
        <w:tc>
          <w:tcPr>
            <w:tcW w:type="dxa" w:w="3500"/>
            <w:tcMar>
              <w:top w:type="dxa" w:w="60"/>
              <w:left w:type="dxa" w:w="100"/>
              <w:bottom w:type="dxa" w:w="60"/>
              <w:right w:type="dxa" w:w="100"/>
            </w:tcMar>
          </w:tcPr>
          <w:p>
            <w:r>
              <w:rPr>
                <w:sz w:val="19"/>
                <w:szCs w:val="19"/>
              </w:rPr>
              <w:t xml:space="preserve">RATIFIED</w:t>
            </w:r>
          </w:p>
        </w:tc>
      </w:tr>
      <w:tr>
        <w:tc>
          <w:tcPr>
            <w:tcW w:type="dxa" w:w="6200"/>
            <w:tcMar>
              <w:top w:type="dxa" w:w="60"/>
              <w:left w:type="dxa" w:w="100"/>
              <w:bottom w:type="dxa" w:w="60"/>
              <w:right w:type="dxa" w:w="100"/>
            </w:tcMar>
          </w:tcPr>
          <w:p>
            <w:r>
              <w:rPr>
                <w:sz w:val="19"/>
                <w:szCs w:val="19"/>
              </w:rPr>
              <w:t xml:space="preserve">ADR-002 Output-Reuse SHA Validation</w:t>
            </w:r>
          </w:p>
        </w:tc>
        <w:tc>
          <w:tcPr>
            <w:tcW w:type="dxa" w:w="3500"/>
            <w:tcMar>
              <w:top w:type="dxa" w:w="60"/>
              <w:left w:type="dxa" w:w="100"/>
              <w:bottom w:type="dxa" w:w="60"/>
              <w:right w:type="dxa" w:w="100"/>
            </w:tcMar>
          </w:tcPr>
          <w:p>
            <w:r>
              <w:rPr>
                <w:sz w:val="19"/>
                <w:szCs w:val="19"/>
              </w:rPr>
              <w:t xml:space="preserve">PROPOSED</w:t>
            </w:r>
          </w:p>
        </w:tc>
      </w:tr>
      <w:tr>
        <w:tc>
          <w:tcPr>
            <w:tcW w:type="dxa" w:w="6200"/>
            <w:tcMar>
              <w:top w:type="dxa" w:w="60"/>
              <w:left w:type="dxa" w:w="100"/>
              <w:bottom w:type="dxa" w:w="60"/>
              <w:right w:type="dxa" w:w="100"/>
            </w:tcMar>
          </w:tcPr>
          <w:p>
            <w:r>
              <w:rPr>
                <w:sz w:val="19"/>
                <w:szCs w:val="19"/>
              </w:rPr>
              <w:t xml:space="preserve">ADR-003 Telemetry Provenance &amp; GPX Standard</w:t>
            </w:r>
          </w:p>
        </w:tc>
        <w:tc>
          <w:tcPr>
            <w:tcW w:type="dxa" w:w="3500"/>
            <w:tcMar>
              <w:top w:type="dxa" w:w="60"/>
              <w:left w:type="dxa" w:w="100"/>
              <w:bottom w:type="dxa" w:w="60"/>
              <w:right w:type="dxa" w:w="100"/>
            </w:tcMar>
          </w:tcPr>
          <w:p>
            <w:r>
              <w:rPr>
                <w:sz w:val="19"/>
                <w:szCs w:val="19"/>
              </w:rPr>
              <w:t xml:space="preserve">PROPOSED</w:t>
            </w:r>
          </w:p>
        </w:tc>
      </w:tr>
      <w:tr>
        <w:tc>
          <w:tcPr>
            <w:tcW w:type="dxa" w:w="6200"/>
            <w:tcMar>
              <w:top w:type="dxa" w:w="60"/>
              <w:left w:type="dxa" w:w="100"/>
              <w:bottom w:type="dxa" w:w="60"/>
              <w:right w:type="dxa" w:w="100"/>
            </w:tcMar>
          </w:tcPr>
          <w:p>
            <w:r>
              <w:rPr>
                <w:sz w:val="19"/>
                <w:szCs w:val="19"/>
              </w:rPr>
              <w:t xml:space="preserve">ADR-004 Evidence-First Development Model</w:t>
            </w:r>
          </w:p>
        </w:tc>
        <w:tc>
          <w:tcPr>
            <w:tcW w:type="dxa" w:w="3500"/>
            <w:tcMar>
              <w:top w:type="dxa" w:w="60"/>
              <w:left w:type="dxa" w:w="100"/>
              <w:bottom w:type="dxa" w:w="60"/>
              <w:right w:type="dxa" w:w="100"/>
            </w:tcMar>
          </w:tcPr>
          <w:p>
            <w:r>
              <w:rPr>
                <w:sz w:val="19"/>
                <w:szCs w:val="19"/>
              </w:rPr>
              <w:t xml:space="preserve">QUEUED</w:t>
            </w:r>
          </w:p>
        </w:tc>
      </w:tr>
      <w:tr>
        <w:tc>
          <w:tcPr>
            <w:tcW w:type="dxa" w:w="6200"/>
            <w:tcMar>
              <w:top w:type="dxa" w:w="60"/>
              <w:left w:type="dxa" w:w="100"/>
              <w:bottom w:type="dxa" w:w="60"/>
              <w:right w:type="dxa" w:w="100"/>
            </w:tcMar>
          </w:tcPr>
          <w:p>
            <w:r>
              <w:rPr>
                <w:sz w:val="19"/>
                <w:szCs w:val="19"/>
              </w:rPr>
              <w:t xml:space="preserve">ADR-005 Criterion-2 Time Accounting</w:t>
            </w:r>
          </w:p>
        </w:tc>
        <w:tc>
          <w:tcPr>
            <w:tcW w:type="dxa" w:w="3500"/>
            <w:tcMar>
              <w:top w:type="dxa" w:w="60"/>
              <w:left w:type="dxa" w:w="100"/>
              <w:bottom w:type="dxa" w:w="60"/>
              <w:right w:type="dxa" w:w="100"/>
            </w:tcMar>
          </w:tcPr>
          <w:p>
            <w:r>
              <w:rPr>
                <w:sz w:val="19"/>
                <w:szCs w:val="19"/>
              </w:rPr>
              <w:t xml:space="preserve">QUEUED (ratio restatement post-production)</w:t>
            </w:r>
          </w:p>
        </w:tc>
      </w:tr>
      <w:tr>
        <w:tc>
          <w:tcPr>
            <w:tcW w:type="dxa" w:w="6200"/>
            <w:tcMar>
              <w:top w:type="dxa" w:w="60"/>
              <w:left w:type="dxa" w:w="100"/>
              <w:bottom w:type="dxa" w:w="60"/>
              <w:right w:type="dxa" w:w="100"/>
            </w:tcMar>
          </w:tcPr>
          <w:p>
            <w:r>
              <w:rPr>
                <w:sz w:val="19"/>
                <w:szCs w:val="19"/>
              </w:rPr>
              <w:t xml:space="preserve">Office charters (per-office mission/authority/deliverables)</w:t>
            </w:r>
          </w:p>
        </w:tc>
        <w:tc>
          <w:tcPr>
            <w:tcW w:type="dxa" w:w="3500"/>
            <w:tcMar>
              <w:top w:type="dxa" w:w="60"/>
              <w:left w:type="dxa" w:w="100"/>
              <w:bottom w:type="dxa" w:w="60"/>
              <w:right w:type="dxa" w:w="100"/>
            </w:tcMar>
          </w:tcPr>
          <w:p>
            <w:r>
              <w:rPr>
                <w:sz w:val="19"/>
                <w:szCs w:val="19"/>
              </w:rPr>
              <w:t xml:space="preserve">ACCEPTED, unwritten</w:t>
            </w:r>
          </w:p>
        </w:tc>
      </w:tr>
      <w:tr>
        <w:tc>
          <w:tcPr>
            <w:tcW w:type="dxa" w:w="6200"/>
            <w:tcMar>
              <w:top w:type="dxa" w:w="60"/>
              <w:left w:type="dxa" w:w="100"/>
              <w:bottom w:type="dxa" w:w="60"/>
              <w:right w:type="dxa" w:w="100"/>
            </w:tcMar>
          </w:tcPr>
          <w:p>
            <w:r>
              <w:rPr>
                <w:sz w:val="19"/>
                <w:szCs w:val="19"/>
              </w:rPr>
              <w:t xml:space="preserve">SOP corpus (intake · curation · edit/publish · field checklist)</w:t>
            </w:r>
          </w:p>
        </w:tc>
        <w:tc>
          <w:tcPr>
            <w:tcW w:type="dxa" w:w="3500"/>
            <w:tcMar>
              <w:top w:type="dxa" w:w="60"/>
              <w:left w:type="dxa" w:w="100"/>
              <w:bottom w:type="dxa" w:w="60"/>
              <w:right w:type="dxa" w:w="100"/>
            </w:tcMar>
          </w:tcPr>
          <w:p>
            <w:r>
              <w:rPr>
                <w:sz w:val="19"/>
                <w:szCs w:val="19"/>
              </w:rPr>
              <w:t xml:space="preserve">ACCEPTED, unwritten</w:t>
            </w:r>
          </w:p>
        </w:tc>
      </w:tr>
      <w:tr>
        <w:tc>
          <w:tcPr>
            <w:tcW w:type="dxa" w:w="6200"/>
            <w:tcMar>
              <w:top w:type="dxa" w:w="60"/>
              <w:left w:type="dxa" w:w="100"/>
              <w:bottom w:type="dxa" w:w="60"/>
              <w:right w:type="dxa" w:w="100"/>
            </w:tcMar>
          </w:tcPr>
          <w:p>
            <w:r>
              <w:rPr>
                <w:sz w:val="19"/>
                <w:szCs w:val="19"/>
              </w:rPr>
              <w:t xml:space="preserve">Disaster-recovery policy</w:t>
            </w:r>
          </w:p>
        </w:tc>
        <w:tc>
          <w:tcPr>
            <w:tcW w:type="dxa" w:w="3500"/>
            <w:tcMar>
              <w:top w:type="dxa" w:w="60"/>
              <w:left w:type="dxa" w:w="100"/>
              <w:bottom w:type="dxa" w:w="60"/>
              <w:right w:type="dxa" w:w="100"/>
            </w:tcMar>
          </w:tcPr>
          <w:p>
            <w:r>
              <w:rPr>
                <w:sz w:val="19"/>
                <w:szCs w:val="19"/>
              </w:rPr>
              <w:t xml:space="preserve">ACCEPTED, unwritten — load-bearing</w:t>
            </w:r>
          </w:p>
        </w:tc>
      </w:tr>
    </w:tbl>
    <w:p>
      <w:pPr>
        <w:spacing w:after="120"/>
      </w:pPr>
    </w:p>
    <w:p>
      <w:pPr>
        <w:spacing w:after="120"/>
      </w:pPr>
      <w:r>
        <w:rPr>
          <w:color w:val="1A1A1A"/>
          <w:sz w:val="21"/>
          <w:szCs w:val="21"/>
        </w:rPr>
        <w:t xml:space="preserve">Documentation debt is the platform's top-ranked risk: ratified decisions currently live in session records rather than canonical files. The scheduled development session (ADR files, SOPs 01/02/04, backlog) retires the majority.</w:t>
      </w:r>
    </w:p>
    <w:p>
      <w:pPr>
        <w:pStyle w:val="Heading1"/>
        <w:spacing w:after="160" w:before="360"/>
      </w:pPr>
      <w:r>
        <w:rPr>
          <w:b/>
          <w:bCs/>
          <w:color w:val="1A1A1A"/>
        </w:rPr>
        <w:t xml:space="preserve">8. Interfaces</w:t>
      </w:r>
    </w:p>
    <w:p>
      <w:pPr>
        <w:pStyle w:val="ListParagraph"/>
        <w:numPr>
          <w:ilvl w:val="0"/>
          <w:numId w:val="2"/>
        </w:numPr>
        <w:spacing w:after="60"/>
      </w:pPr>
      <w:r>
        <w:rPr>
          <w:sz w:val="21"/>
          <w:szCs w:val="21"/>
        </w:rPr>
        <w:t xml:space="preserve">NLE Tier-1: Final Cut Pro — FCPXML round-trip provides automatic utilization measurement; FCP_MEDIA symlink layer defeats camera-mode import restrictions.</w:t>
      </w:r>
    </w:p>
    <w:p>
      <w:pPr>
        <w:pStyle w:val="ListParagraph"/>
        <w:numPr>
          <w:ilvl w:val="0"/>
          <w:numId w:val="2"/>
        </w:numPr>
        <w:spacing w:after="60"/>
      </w:pPr>
      <w:r>
        <w:rPr>
          <w:sz w:val="21"/>
          <w:szCs w:val="21"/>
        </w:rPr>
        <w:t xml:space="preserve">Offload CLI: --source/--camera/--shoot/--dest/--dest2/--ext/--trusted-clock/--dry-run.</w:t>
      </w:r>
    </w:p>
    <w:p>
      <w:pPr>
        <w:pStyle w:val="ListParagraph"/>
        <w:numPr>
          <w:ilvl w:val="0"/>
          <w:numId w:val="2"/>
        </w:numPr>
        <w:spacing w:after="60"/>
      </w:pPr>
      <w:r>
        <w:rPr>
          <w:sz w:val="21"/>
          <w:szCs w:val="21"/>
        </w:rPr>
        <w:t xml:space="preserve">Telemetry inputs: REVER Master Ride GPX (route geometry authority), Insta360 Clip Anchor GPX, Studio native overlays; .insv remains archival via source-reference manifest.</w:t>
      </w:r>
    </w:p>
    <w:p>
      <w:pPr>
        <w:pStyle w:val="ListParagraph"/>
        <w:numPr>
          <w:ilvl w:val="0"/>
          <w:numId w:val="2"/>
        </w:numPr>
        <w:spacing w:after="60"/>
      </w:pPr>
      <w:r>
        <w:rPr>
          <w:sz w:val="21"/>
          <w:szCs w:val="21"/>
        </w:rPr>
        <w:t xml:space="preserve">Music pipeline: owned catalog + AI-generated (disclosed) + licensed — every cue carries a rights line in music_rights.</w:t>
      </w:r>
    </w:p>
    <w:p>
      <w:pPr>
        <w:pStyle w:val="Heading1"/>
        <w:spacing w:after="160" w:before="360"/>
      </w:pPr>
      <w:r>
        <w:rPr>
          <w:b/>
          <w:bCs/>
          <w:color w:val="1A1A1A"/>
        </w:rPr>
        <w:t xml:space="preserve">9. Status Ledger and Roadmap</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200"/>
        <w:gridCol w:w="4500"/>
      </w:tblGrid>
      <w:tr>
        <w:tc>
          <w:tcPr>
            <w:tcW w:type="dxa" w:w="5200"/>
            <w:shd w:fill="1A1A1A" w:val="clear"/>
            <w:tcMar>
              <w:top w:type="dxa" w:w="60"/>
              <w:left w:type="dxa" w:w="100"/>
              <w:bottom w:type="dxa" w:w="60"/>
              <w:right w:type="dxa" w:w="100"/>
            </w:tcMar>
          </w:tcPr>
          <w:p>
            <w:r>
              <w:rPr>
                <w:b/>
                <w:bCs/>
                <w:color w:val="FFFFFF"/>
                <w:sz w:val="19"/>
                <w:szCs w:val="19"/>
              </w:rPr>
              <w:t xml:space="preserve">v1.0 Criterion</w:t>
            </w:r>
          </w:p>
        </w:tc>
        <w:tc>
          <w:tcPr>
            <w:tcW w:type="dxa" w:w="4500"/>
            <w:shd w:fill="1A1A1A" w:val="clear"/>
            <w:tcMar>
              <w:top w:type="dxa" w:w="60"/>
              <w:left w:type="dxa" w:w="100"/>
              <w:bottom w:type="dxa" w:w="60"/>
              <w:right w:type="dxa" w:w="100"/>
            </w:tcMar>
          </w:tcPr>
          <w:p>
            <w:r>
              <w:rPr>
                <w:b/>
                <w:bCs/>
                <w:color w:val="FFFFFF"/>
                <w:sz w:val="19"/>
                <w:szCs w:val="19"/>
              </w:rPr>
              <w:t xml:space="preserve">Status</w:t>
            </w:r>
          </w:p>
        </w:tc>
      </w:tr>
      <w:tr>
        <w:tc>
          <w:tcPr>
            <w:tcW w:type="dxa" w:w="5200"/>
            <w:tcMar>
              <w:top w:type="dxa" w:w="60"/>
              <w:left w:type="dxa" w:w="100"/>
              <w:bottom w:type="dxa" w:w="60"/>
              <w:right w:type="dxa" w:w="100"/>
            </w:tcMar>
          </w:tcPr>
          <w:p>
            <w:r>
              <w:rPr>
                <w:sz w:val="19"/>
                <w:szCs w:val="19"/>
              </w:rPr>
              <w:t xml:space="preserve">1. Full shoot end-to-end, zero manual handling</w:t>
            </w:r>
          </w:p>
        </w:tc>
        <w:tc>
          <w:tcPr>
            <w:tcW w:type="dxa" w:w="4500"/>
            <w:tcMar>
              <w:top w:type="dxa" w:w="60"/>
              <w:left w:type="dxa" w:w="100"/>
              <w:bottom w:type="dxa" w:w="60"/>
              <w:right w:type="dxa" w:w="100"/>
            </w:tcMar>
          </w:tcPr>
          <w:p>
            <w:r>
              <w:rPr>
                <w:sz w:val="19"/>
                <w:szCs w:val="19"/>
              </w:rPr>
              <w:t xml:space="preserve">Intake COMPLETE · creative phase in progress (Part 1 cut)</w:t>
            </w:r>
          </w:p>
        </w:tc>
      </w:tr>
      <w:tr>
        <w:tc>
          <w:tcPr>
            <w:tcW w:type="dxa" w:w="5200"/>
            <w:tcMar>
              <w:top w:type="dxa" w:w="60"/>
              <w:left w:type="dxa" w:w="100"/>
              <w:bottom w:type="dxa" w:w="60"/>
              <w:right w:type="dxa" w:w="100"/>
            </w:tcMar>
          </w:tcPr>
          <w:p>
            <w:r>
              <w:rPr>
                <w:sz w:val="19"/>
                <w:szCs w:val="19"/>
              </w:rPr>
              <w:t xml:space="preserve">2. ≥50% time reduction vs. RWP 64-hr baseline</w:t>
            </w:r>
          </w:p>
        </w:tc>
        <w:tc>
          <w:tcPr>
            <w:tcW w:type="dxa" w:w="4500"/>
            <w:tcMar>
              <w:top w:type="dxa" w:w="60"/>
              <w:left w:type="dxa" w:w="100"/>
              <w:bottom w:type="dxa" w:w="60"/>
              <w:right w:type="dxa" w:w="100"/>
            </w:tcMar>
          </w:tcPr>
          <w:p>
            <w:r>
              <w:rPr>
                <w:sz w:val="19"/>
                <w:szCs w:val="19"/>
              </w:rPr>
              <w:t xml:space="preserve">50 hrs at Part-1 draft; restatement to ratio basis queued as ADR-005</w:t>
            </w:r>
          </w:p>
        </w:tc>
      </w:tr>
      <w:tr>
        <w:tc>
          <w:tcPr>
            <w:tcW w:type="dxa" w:w="5200"/>
            <w:tcMar>
              <w:top w:type="dxa" w:w="60"/>
              <w:left w:type="dxa" w:w="100"/>
              <w:bottom w:type="dxa" w:w="60"/>
              <w:right w:type="dxa" w:w="100"/>
            </w:tcMar>
          </w:tcPr>
          <w:p>
            <w:r>
              <w:rPr>
                <w:sz w:val="19"/>
                <w:szCs w:val="19"/>
              </w:rPr>
              <w:t xml:space="preserve">3. Phase-1 core (compositor, manifest, regression)</w:t>
            </w:r>
          </w:p>
        </w:tc>
        <w:tc>
          <w:tcPr>
            <w:tcW w:type="dxa" w:w="4500"/>
            <w:tcMar>
              <w:top w:type="dxa" w:w="60"/>
              <w:left w:type="dxa" w:w="100"/>
              <w:bottom w:type="dxa" w:w="60"/>
              <w:right w:type="dxa" w:w="100"/>
            </w:tcMar>
          </w:tcPr>
          <w:p>
            <w:r>
              <w:rPr>
                <w:sz w:val="19"/>
                <w:szCs w:val="19"/>
              </w:rPr>
              <w:t xml:space="preserve">COMPLETE</w:t>
            </w:r>
          </w:p>
        </w:tc>
      </w:tr>
      <w:tr>
        <w:tc>
          <w:tcPr>
            <w:tcW w:type="dxa" w:w="5200"/>
            <w:tcMar>
              <w:top w:type="dxa" w:w="60"/>
              <w:left w:type="dxa" w:w="100"/>
              <w:bottom w:type="dxa" w:w="60"/>
              <w:right w:type="dxa" w:w="100"/>
            </w:tcMar>
          </w:tcPr>
          <w:p>
            <w:r>
              <w:rPr>
                <w:sz w:val="19"/>
                <w:szCs w:val="19"/>
              </w:rPr>
              <w:t xml:space="preserve">4. Three gates exercised on a real job</w:t>
            </w:r>
          </w:p>
        </w:tc>
        <w:tc>
          <w:tcPr>
            <w:tcW w:type="dxa" w:w="4500"/>
            <w:tcMar>
              <w:top w:type="dxa" w:w="60"/>
              <w:left w:type="dxa" w:w="100"/>
              <w:bottom w:type="dxa" w:w="60"/>
              <w:right w:type="dxa" w:w="100"/>
            </w:tcMar>
          </w:tcPr>
          <w:p>
            <w:r>
              <w:rPr>
                <w:sz w:val="19"/>
                <w:szCs w:val="19"/>
              </w:rPr>
              <w:t xml:space="preserve">Gate 1 exercised · Gates 2–3 armed</w:t>
            </w:r>
          </w:p>
        </w:tc>
      </w:tr>
      <w:tr>
        <w:tc>
          <w:tcPr>
            <w:tcW w:type="dxa" w:w="5200"/>
            <w:tcMar>
              <w:top w:type="dxa" w:w="60"/>
              <w:left w:type="dxa" w:w="100"/>
              <w:bottom w:type="dxa" w:w="60"/>
              <w:right w:type="dxa" w:w="100"/>
            </w:tcMar>
          </w:tcPr>
          <w:p>
            <w:r>
              <w:rPr>
                <w:sz w:val="19"/>
                <w:szCs w:val="19"/>
              </w:rPr>
              <w:t xml:space="preserve">5. Field checklist executed (SRT/GPS/captions)</w:t>
            </w:r>
          </w:p>
        </w:tc>
        <w:tc>
          <w:tcPr>
            <w:tcW w:type="dxa" w:w="4500"/>
            <w:tcMar>
              <w:top w:type="dxa" w:w="60"/>
              <w:left w:type="dxa" w:w="100"/>
              <w:bottom w:type="dxa" w:w="60"/>
              <w:right w:type="dxa" w:w="100"/>
            </w:tcMar>
          </w:tcPr>
          <w:p>
            <w:r>
              <w:rPr>
                <w:sz w:val="19"/>
                <w:szCs w:val="19"/>
              </w:rPr>
              <w:t xml:space="preserve">Awaits next shoot</w:t>
            </w:r>
          </w:p>
        </w:tc>
      </w:tr>
    </w:tbl>
    <w:p>
      <w:pPr>
        <w:spacing w:after="120"/>
      </w:pPr>
    </w:p>
    <w:p>
      <w:pPr>
        <w:spacing w:after="120"/>
      </w:pPr>
      <w:r>
        <w:rPr>
          <w:color w:val="1A1A1A"/>
          <w:sz w:val="21"/>
          <w:szCs w:val="21"/>
        </w:rPr>
        <w:t xml:space="preserve">Sequenced next artifacts: Part 1 publish (soundtrack → Gate 2 → Gate 3) · development session (governance corpus) · Parts 2–3 (contributed-media pipeline; requires GroupMe consent action, 73 files pending). v1.0 completion triggers the ratified 30-day founding-cohort tripwire.</w:t>
      </w:r>
    </w:p>
    <w:p>
      <w:pPr>
        <w:spacing w:after="120"/>
      </w:pPr>
    </w:p>
    <w:p>
      <w:pPr>
        <w:spacing w:before="300"/>
      </w:pPr>
      <w:r>
        <w:rPr>
          <w:i/>
          <w:iCs/>
          <w:color w:val="595959"/>
          <w:sz w:val="19"/>
          <w:szCs w:val="19"/>
        </w:rPr>
        <w:t xml:space="preserve">Prepared by the Office of the Chief AI Engineering Architect · W.E.I.C.P.</w:t>
      </w:r>
    </w:p>
    <w:p>
      <w:r>
        <w:rPr>
          <w:i/>
          <w:iCs/>
          <w:color w:val="595959"/>
          <w:sz w:val="19"/>
          <w:szCs w:val="19"/>
        </w:rPr>
        <w:t xml:space="preserve">Every BUILT status in this specification is backed by committed code, passing tests, or filed production records (commits 0e64a6d, e0888f7, 05545b8, cf1abe3, 09da21b).</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2026-08-04T02:32:51.006Z</dcterms:created>
  <dcterms:modified xsi:type="dcterms:W3CDTF">2026-08-04T02:32:51.025Z</dcterms:modified>
</cp:coreProperties>
</file>

<file path=docProps/custom.xml><?xml version="1.0" encoding="utf-8"?>
<Properties xmlns="http://schemas.openxmlformats.org/officeDocument/2006/custom-properties" xmlns:vt="http://schemas.openxmlformats.org/officeDocument/2006/docPropsVTypes"/>
</file>